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8" w:type="dxa"/>
        <w:tblInd w:w="-432" w:type="dxa"/>
        <w:tblLook w:val="01E0"/>
      </w:tblPr>
      <w:tblGrid>
        <w:gridCol w:w="2658"/>
        <w:gridCol w:w="7980"/>
      </w:tblGrid>
      <w:tr w:rsidR="00364437" w:rsidRPr="000E4F80" w:rsidTr="003F7A38">
        <w:trPr>
          <w:trHeight w:val="1556"/>
        </w:trPr>
        <w:tc>
          <w:tcPr>
            <w:tcW w:w="2658" w:type="dxa"/>
            <w:tcBorders>
              <w:bottom w:val="thinThickSmallGap" w:sz="24" w:space="0" w:color="339966"/>
            </w:tcBorders>
          </w:tcPr>
          <w:p w:rsidR="00364437" w:rsidRPr="002E63E2" w:rsidRDefault="00364437" w:rsidP="003671B8">
            <w:pPr>
              <w:rPr>
                <w:lang w:val="en-US"/>
              </w:rPr>
            </w:pPr>
            <w:r w:rsidRPr="00891A88">
              <w:rPr>
                <w:rFonts w:ascii="Trebuchet MS" w:hAnsi="Trebuchet MS"/>
                <w:noProof/>
                <w:sz w:val="20"/>
                <w:szCs w:val="20"/>
                <w:lang w:eastAsia="fr-FR"/>
              </w:rPr>
              <w:drawing>
                <wp:inline distT="0" distB="0" distL="0" distR="0">
                  <wp:extent cx="1009650" cy="967563"/>
                  <wp:effectExtent l="0" t="0" r="0" b="4445"/>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360" cy="973993"/>
                          </a:xfrm>
                          <a:prstGeom prst="rect">
                            <a:avLst/>
                          </a:prstGeom>
                          <a:noFill/>
                          <a:ln>
                            <a:noFill/>
                          </a:ln>
                        </pic:spPr>
                      </pic:pic>
                    </a:graphicData>
                  </a:graphic>
                </wp:inline>
              </w:drawing>
            </w:r>
          </w:p>
        </w:tc>
        <w:tc>
          <w:tcPr>
            <w:tcW w:w="7980" w:type="dxa"/>
            <w:tcBorders>
              <w:bottom w:val="thinThickSmallGap" w:sz="24" w:space="0" w:color="339966"/>
            </w:tcBorders>
          </w:tcPr>
          <w:p w:rsidR="00364437" w:rsidRPr="007A2730" w:rsidRDefault="00364437" w:rsidP="00890434">
            <w:pPr>
              <w:jc w:val="center"/>
              <w:rPr>
                <w:rFonts w:ascii="Montserrat Light" w:hAnsi="Montserrat Light" w:cs="Arial"/>
                <w:b/>
                <w:bCs/>
                <w:smallCaps/>
                <w:sz w:val="20"/>
                <w:szCs w:val="20"/>
              </w:rPr>
            </w:pPr>
            <w:r w:rsidRPr="007A2730">
              <w:rPr>
                <w:rFonts w:ascii="Montserrat Light" w:hAnsi="Montserrat Light" w:cs="Arial"/>
                <w:bCs/>
                <w:smallCaps/>
                <w:sz w:val="20"/>
                <w:szCs w:val="20"/>
              </w:rPr>
              <w:t>République du Bénin</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7A2730" w:rsidRDefault="00364437" w:rsidP="00890434">
            <w:pPr>
              <w:jc w:val="center"/>
              <w:rPr>
                <w:rFonts w:ascii="Montserrat Light" w:hAnsi="Montserrat Light" w:cs="Arial"/>
                <w:bCs/>
                <w:smallCaps/>
                <w:sz w:val="20"/>
                <w:szCs w:val="20"/>
              </w:rPr>
            </w:pPr>
            <w:r w:rsidRPr="007A2730">
              <w:rPr>
                <w:rFonts w:ascii="Montserrat Light" w:hAnsi="Montserrat Light" w:cs="Arial"/>
                <w:bCs/>
                <w:smallCaps/>
                <w:sz w:val="20"/>
                <w:szCs w:val="20"/>
              </w:rPr>
              <w:t>Ministère Du Plan et Du Développement</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FC2162" w:rsidRDefault="00364437" w:rsidP="00890434">
            <w:pPr>
              <w:jc w:val="center"/>
              <w:rPr>
                <w:b/>
                <w:bCs/>
                <w:smallCaps/>
                <w:sz w:val="20"/>
                <w:szCs w:val="20"/>
              </w:rPr>
            </w:pPr>
            <w:r w:rsidRPr="007A2730">
              <w:rPr>
                <w:rFonts w:ascii="Montserrat Light" w:hAnsi="Montserrat Light" w:cs="Arial"/>
                <w:bCs/>
                <w:smallCaps/>
                <w:sz w:val="20"/>
                <w:szCs w:val="20"/>
              </w:rPr>
              <w:t>InstitutNational de la  Statistique  et de  l’Analyse  Economique</w:t>
            </w:r>
          </w:p>
        </w:tc>
      </w:tr>
    </w:tbl>
    <w:p w:rsidR="007A2730" w:rsidRDefault="005E6324" w:rsidP="007F5C5D">
      <w:pPr>
        <w:tabs>
          <w:tab w:val="left" w:pos="2562"/>
        </w:tabs>
      </w:pPr>
      <w:r>
        <w:rPr>
          <w:noProof/>
          <w:lang w:eastAsia="fr-FR"/>
        </w:rPr>
        <w:pict>
          <v:shapetype id="_x0000_t202" coordsize="21600,21600" o:spt="202" path="m,l,21600r21600,l21600,xe">
            <v:stroke joinstyle="miter"/>
            <v:path gradientshapeok="t" o:connecttype="rect"/>
          </v:shapetype>
          <v:shape id="Text Box 10" o:spid="_x0000_s1026" type="#_x0000_t202" style="position:absolute;margin-left:-6.05pt;margin-top:7.9pt;width:497.2pt;height:34.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0gKwIAAFEEAAAOAAAAZHJzL2Uyb0RvYy54bWysVNtu2zAMfR+wfxD0vthJk6Ux4hRdugwD&#10;ugvQ7gNkWbaFSaImKbGzrx8lp2nQbS/D/CCIInV0eEh6fTNoRQ7CeQmmpNNJTokwHGpp2pJ+e9y9&#10;uabEB2ZqpsCIkh6Fpzeb16/WvS3EDDpQtXAEQYwvelvSLgRbZJnnndDMT8AKg84GnGYBTddmtWM9&#10;omuVzfL8bdaDq60DLrzH07vRSTcJv2kED1+axotAVEmRW0irS2sV12yzZkXrmO0kP9Fg/8BCM2nw&#10;0TPUHQuM7J38DUpL7sBDEyYcdAZNI7lIOWA20/xFNg8dsyLlguJ4e5bJ/z9Y/vnw1RFZlxQLZZjG&#10;Ej2KIZB3MJBpkqe3vsCoB4txYcBzLHNK1dt74N89MbDtmGnFrXPQd4LVSG8ahc0ursaC+MJHkKr/&#10;BDW+w/YBEtDQOB21QzUIomOZjufSRC4cDxfLfHl1jS6OvqvFdLlK5DJWPN22zocPAjSJm5I6LH1C&#10;Z4d7HyIbVjyFxMc8KFnvpFLJcG21VY4cGLbJLn0pgRdhypC+pKvFbDEK8FeIPH1/gtAyYL8rqVHw&#10;cxAromzvTZ26MTCpxj1SVuakY5RuFDEM1YCBUc8K6iMq6mDsa5xD3HTgflLSY0+X1P/YMycoUR8N&#10;VmU1nc/jECRjvljO0HCXnurSwwxHqJIGSsbtNoyDs7dOth2+NPaBgVusZCOTyM+sTryxb5P2pxmL&#10;g3Fpp6jnP8HmFwAAAP//AwBQSwMEFAAGAAgAAAAhAJs2AzXcAAAABgEAAA8AAABkcnMvZG93bnJl&#10;di54bWxMjsFOwzAQRO9I/IO1SFwQtWlL2oY4FUICwQ3aCq5usk0i7HWw3TT8PcsJjqMZvXnFenRW&#10;DBhi50nDzUSBQKp83VGjYbd9vF6CiMlQbawn1PCNEdbl+Vlh8tqf6A2HTWoEQyjmRkObUp9LGasW&#10;nYkT3yNxd/DBmcQxNLIO5sRwZ+VUqUw60xE/tKbHhxarz83RaVjOn4eP+DJ7fa+yg12lq8Xw9BW0&#10;vrwY7+9AJBzT3xh+9VkdSnba+yPVUVhm3PJQw5z9uV2pxQzEXkOmpiDLQv7XL38AAAD//wMAUEsB&#10;Ai0AFAAGAAgAAAAhALaDOJL+AAAA4QEAABMAAAAAAAAAAAAAAAAAAAAAAFtDb250ZW50X1R5cGVz&#10;XS54bWxQSwECLQAUAAYACAAAACEAOP0h/9YAAACUAQAACwAAAAAAAAAAAAAAAAAvAQAAX3JlbHMv&#10;LnJlbHNQSwECLQAUAAYACAAAACEATD9dICsCAABRBAAADgAAAAAAAAAAAAAAAAAuAgAAZHJzL2Uy&#10;b0RvYy54bWxQSwECLQAUAAYACAAAACEAmzYDNdwAAAAGAQAADwAAAAAAAAAAAAAAAACFBAAAZHJz&#10;L2Rvd25yZXYueG1sUEsFBgAAAAAEAAQA8wAAAI4FAAAAAA==&#10;">
            <v:textbox style="mso-next-textbox:#Text Box 10">
              <w:txbxContent>
                <w:p w:rsidR="00BF08E4" w:rsidRPr="00262D3A" w:rsidRDefault="00BF08E4"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Indice Harmonisé des Prix à la Consommation</w:t>
                  </w:r>
                </w:p>
                <w:p w:rsidR="00BF08E4" w:rsidRPr="00262D3A" w:rsidRDefault="00BF08E4"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National-décembre</w:t>
                  </w:r>
                  <w:r w:rsidRPr="00262D3A">
                    <w:rPr>
                      <w:rFonts w:ascii="Times New Roman" w:hAnsi="Times New Roman" w:cs="Times New Roman"/>
                      <w:b/>
                      <w:sz w:val="24"/>
                      <w:szCs w:val="24"/>
                    </w:rPr>
                    <w:t xml:space="preserve"> 2020</w:t>
                  </w:r>
                </w:p>
              </w:txbxContent>
            </v:textbox>
          </v:shape>
        </w:pict>
      </w:r>
    </w:p>
    <w:p w:rsidR="003671B8" w:rsidRDefault="003671B8" w:rsidP="007F5C5D">
      <w:pPr>
        <w:tabs>
          <w:tab w:val="left" w:pos="2562"/>
        </w:tabs>
      </w:pPr>
    </w:p>
    <w:p w:rsidR="003671B8" w:rsidRPr="003671B8" w:rsidRDefault="003671B8" w:rsidP="003671B8"/>
    <w:p w:rsidR="003671B8" w:rsidRDefault="003671B8" w:rsidP="003671B8"/>
    <w:p w:rsidR="003671B8" w:rsidRPr="00B62E70" w:rsidRDefault="003671B8" w:rsidP="003671B8">
      <w:pPr>
        <w:rPr>
          <w:sz w:val="4"/>
          <w:szCs w:val="4"/>
        </w:rPr>
      </w:pP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outlineLvl w:val="0"/>
        <w:rPr>
          <w:rFonts w:ascii="Times New Roman" w:hAnsi="Times New Roman" w:cs="Times New Roman"/>
          <w:b/>
          <w:bCs/>
          <w:sz w:val="19"/>
          <w:szCs w:val="19"/>
        </w:rPr>
      </w:pPr>
      <w:r w:rsidRPr="00262D3A">
        <w:rPr>
          <w:rFonts w:ascii="Times New Roman" w:hAnsi="Times New Roman" w:cs="Times New Roman"/>
          <w:b/>
          <w:bCs/>
          <w:sz w:val="19"/>
          <w:szCs w:val="19"/>
        </w:rPr>
        <w:t>AVERTISSEMENT</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L’INSAE a le plaisir de mettre à la disposition des utilisateurs l’Indice Harmonisé des Prix à la Consommation (IHPC). Cet indice base 100, année 2014, mesure l’évolution des prix à la consommation au niveau national.</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L’IHPC a pour population de référence l’ensemble des ménages africains du Bénin à travers cinq (05) grandes régions de production à savoir Sud Ouest (Littoral, Atlantique, Mono et Couffo), Sud Est (Ouémé-Plateau), Centre (Zou-Collines), Nord Est (Borgou-Alibori) et Nord Ouest (Atacora-Donga). Chaque zone est composée d’un milieu urbain et de celui rural. L’indice national est la moyenne pondérée des indices des cinq régions. Le panier de la ménagère comprend 626 variétés suivies dans 1 889 points d’observation. Plus de 15 143 relevés de prix sont effectués chaque mois par les enquêteurs de l’INSAE. Les pondérations de l’indice proviennent de l’Enquête Modulaire Intégrée sur les Conditions de Vie des Ménages réalisée en  2011 (EMICoV 2011).</w:t>
      </w:r>
    </w:p>
    <w:p w:rsidR="003671B8" w:rsidRPr="00262D3A" w:rsidRDefault="003671B8" w:rsidP="003671B8">
      <w:pPr>
        <w:rPr>
          <w:rFonts w:ascii="Times New Roman" w:hAnsi="Times New Roman" w:cs="Times New Roman"/>
        </w:rPr>
      </w:pPr>
    </w:p>
    <w:p w:rsidR="003671B8" w:rsidRPr="00262D3A" w:rsidRDefault="003671B8" w:rsidP="003671B8">
      <w:pPr>
        <w:spacing w:line="312" w:lineRule="auto"/>
        <w:rPr>
          <w:rFonts w:ascii="Times New Roman" w:hAnsi="Times New Roman" w:cs="Times New Roman"/>
          <w:b/>
          <w:bCs/>
          <w:i/>
          <w:iCs/>
          <w:sz w:val="23"/>
          <w:szCs w:val="23"/>
        </w:rPr>
      </w:pPr>
      <w:r w:rsidRPr="00262D3A">
        <w:rPr>
          <w:rFonts w:ascii="Times New Roman" w:hAnsi="Times New Roman" w:cs="Times New Roman"/>
          <w:b/>
          <w:bCs/>
          <w:i/>
          <w:iCs/>
          <w:sz w:val="23"/>
          <w:szCs w:val="23"/>
        </w:rPr>
        <w:t>IHPC suivant les fonctions</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L’Indice Harmonisé des Prix à la Consommat</w:t>
      </w:r>
      <w:r w:rsidR="009E1CF0">
        <w:rPr>
          <w:rFonts w:ascii="Times New Roman" w:hAnsi="Times New Roman" w:cs="Times New Roman"/>
          <w:bCs/>
          <w:i/>
          <w:iCs/>
          <w:sz w:val="23"/>
          <w:szCs w:val="23"/>
        </w:rPr>
        <w:t xml:space="preserve">ion du mois de </w:t>
      </w:r>
      <w:r w:rsidR="00BF08E4">
        <w:rPr>
          <w:rFonts w:ascii="Times New Roman" w:hAnsi="Times New Roman" w:cs="Times New Roman"/>
          <w:bCs/>
          <w:i/>
          <w:iCs/>
          <w:sz w:val="23"/>
          <w:szCs w:val="23"/>
        </w:rPr>
        <w:t>décembre 2020 est de 102,6</w:t>
      </w:r>
      <w:r w:rsidR="0081467C">
        <w:rPr>
          <w:rFonts w:ascii="Times New Roman" w:hAnsi="Times New Roman" w:cs="Times New Roman"/>
          <w:bCs/>
          <w:i/>
          <w:iCs/>
          <w:sz w:val="23"/>
          <w:szCs w:val="23"/>
        </w:rPr>
        <w:t xml:space="preserve"> contre 104,4</w:t>
      </w:r>
      <w:r w:rsidR="00BF08E4">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 xml:space="preserve">un mois plus tôt, soit une </w:t>
      </w:r>
      <w:r w:rsidR="00BF08E4">
        <w:rPr>
          <w:rFonts w:ascii="Times New Roman" w:hAnsi="Times New Roman" w:cs="Times New Roman"/>
          <w:bCs/>
          <w:i/>
          <w:iCs/>
          <w:sz w:val="23"/>
          <w:szCs w:val="23"/>
        </w:rPr>
        <w:t>baisse</w:t>
      </w:r>
      <w:r w:rsidRPr="00262D3A">
        <w:rPr>
          <w:rFonts w:ascii="Times New Roman" w:hAnsi="Times New Roman" w:cs="Times New Roman"/>
          <w:bCs/>
          <w:i/>
          <w:iCs/>
          <w:sz w:val="23"/>
          <w:szCs w:val="23"/>
        </w:rPr>
        <w:t xml:space="preserve"> de </w:t>
      </w:r>
      <w:r w:rsidR="00BF08E4">
        <w:rPr>
          <w:rFonts w:ascii="Times New Roman" w:hAnsi="Times New Roman" w:cs="Times New Roman"/>
          <w:b/>
          <w:bCs/>
          <w:i/>
          <w:iCs/>
          <w:sz w:val="23"/>
          <w:szCs w:val="23"/>
        </w:rPr>
        <w:t>1,7</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BF08E4" w:rsidRPr="00BF08E4" w:rsidRDefault="00BF08E4" w:rsidP="00BF08E4">
      <w:pPr>
        <w:spacing w:line="312" w:lineRule="auto"/>
        <w:jc w:val="both"/>
        <w:rPr>
          <w:rFonts w:ascii="Times New Roman" w:hAnsi="Times New Roman" w:cs="Times New Roman"/>
          <w:b/>
          <w:bCs/>
          <w:i/>
          <w:iCs/>
          <w:sz w:val="23"/>
          <w:szCs w:val="23"/>
        </w:rPr>
      </w:pPr>
      <w:r>
        <w:rPr>
          <w:rFonts w:ascii="Times New Roman" w:hAnsi="Times New Roman" w:cs="Times New Roman"/>
          <w:bCs/>
          <w:i/>
          <w:iCs/>
          <w:sz w:val="23"/>
          <w:szCs w:val="23"/>
        </w:rPr>
        <w:t>Le repli</w:t>
      </w:r>
      <w:r w:rsidRPr="00262D3A">
        <w:rPr>
          <w:rFonts w:ascii="Times New Roman" w:hAnsi="Times New Roman" w:cs="Times New Roman"/>
          <w:bCs/>
          <w:i/>
          <w:iCs/>
          <w:sz w:val="23"/>
          <w:szCs w:val="23"/>
        </w:rPr>
        <w:t xml:space="preserve"> observé résulte essentiellement de </w:t>
      </w:r>
      <w:r>
        <w:rPr>
          <w:rFonts w:ascii="Times New Roman" w:hAnsi="Times New Roman" w:cs="Times New Roman"/>
          <w:bCs/>
          <w:i/>
          <w:iCs/>
          <w:sz w:val="23"/>
          <w:szCs w:val="23"/>
        </w:rPr>
        <w:t xml:space="preserve">la diminution </w:t>
      </w:r>
      <w:r w:rsidRPr="00262D3A">
        <w:rPr>
          <w:rFonts w:ascii="Times New Roman" w:hAnsi="Times New Roman" w:cs="Times New Roman"/>
          <w:bCs/>
          <w:i/>
          <w:iCs/>
          <w:sz w:val="23"/>
          <w:szCs w:val="23"/>
        </w:rPr>
        <w:t>des prix des fonctions « produits alimentaires et boissons non alcoolisées</w:t>
      </w:r>
      <w:r>
        <w:rPr>
          <w:rFonts w:ascii="Times New Roman" w:hAnsi="Times New Roman" w:cs="Times New Roman"/>
          <w:b/>
          <w:bCs/>
          <w:i/>
          <w:iCs/>
          <w:sz w:val="23"/>
          <w:szCs w:val="23"/>
        </w:rPr>
        <w:t> » (-1,7</w:t>
      </w:r>
      <w:r w:rsidRPr="00262D3A">
        <w:rPr>
          <w:rFonts w:ascii="Times New Roman" w:hAnsi="Times New Roman" w:cs="Times New Roman"/>
          <w:b/>
          <w:bCs/>
          <w:i/>
          <w:iCs/>
          <w:sz w:val="23"/>
          <w:szCs w:val="23"/>
        </w:rPr>
        <w:t>%)</w:t>
      </w:r>
      <w:r>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transports</w:t>
      </w:r>
      <w:r w:rsidRPr="0040497C">
        <w:rPr>
          <w:rFonts w:ascii="Times New Roman" w:hAnsi="Times New Roman" w:cs="Times New Roman"/>
          <w:bCs/>
          <w:i/>
          <w:iCs/>
          <w:sz w:val="23"/>
          <w:szCs w:val="23"/>
        </w:rPr>
        <w:t xml:space="preserve"> »</w:t>
      </w:r>
      <w:r>
        <w:rPr>
          <w:rFonts w:ascii="Times New Roman" w:hAnsi="Times New Roman" w:cs="Times New Roman"/>
          <w:b/>
          <w:bCs/>
          <w:i/>
          <w:iCs/>
          <w:sz w:val="23"/>
          <w:szCs w:val="23"/>
        </w:rPr>
        <w:t xml:space="preserve"> (-3,5</w:t>
      </w:r>
      <w:r w:rsidRPr="00262D3A">
        <w:rPr>
          <w:rFonts w:ascii="Times New Roman" w:hAnsi="Times New Roman" w:cs="Times New Roman"/>
          <w:b/>
          <w:bCs/>
          <w:i/>
          <w:iCs/>
          <w:sz w:val="23"/>
          <w:szCs w:val="23"/>
        </w:rPr>
        <w:t>%)</w:t>
      </w:r>
      <w:r>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l</w:t>
      </w:r>
      <w:r w:rsidRPr="00CB09E8">
        <w:rPr>
          <w:rFonts w:ascii="Times New Roman" w:hAnsi="Times New Roman" w:cs="Times New Roman"/>
          <w:bCs/>
          <w:i/>
          <w:iCs/>
          <w:sz w:val="23"/>
          <w:szCs w:val="23"/>
        </w:rPr>
        <w:t>ogement, eau, gaz, électricité et autres combustibles</w:t>
      </w:r>
      <w:r>
        <w:rPr>
          <w:rFonts w:ascii="Times New Roman" w:hAnsi="Times New Roman" w:cs="Times New Roman"/>
          <w:bCs/>
          <w:i/>
          <w:iCs/>
          <w:sz w:val="23"/>
          <w:szCs w:val="23"/>
        </w:rPr>
        <w:t xml:space="preserve"> </w:t>
      </w:r>
      <w:r>
        <w:rPr>
          <w:rFonts w:ascii="Times New Roman" w:hAnsi="Times New Roman" w:cs="Times New Roman"/>
          <w:b/>
          <w:bCs/>
          <w:i/>
          <w:iCs/>
          <w:sz w:val="23"/>
          <w:szCs w:val="23"/>
        </w:rPr>
        <w:t>» (-3,1%)</w:t>
      </w:r>
      <w:r>
        <w:rPr>
          <w:rFonts w:ascii="Times New Roman" w:hAnsi="Times New Roman" w:cs="Times New Roman"/>
          <w:bCs/>
          <w:i/>
          <w:iCs/>
          <w:sz w:val="23"/>
          <w:szCs w:val="23"/>
        </w:rPr>
        <w:t xml:space="preserve"> et </w:t>
      </w:r>
      <w:r w:rsidRPr="00262D3A">
        <w:rPr>
          <w:rFonts w:ascii="Times New Roman" w:hAnsi="Times New Roman" w:cs="Times New Roman"/>
          <w:bCs/>
          <w:i/>
          <w:iCs/>
          <w:sz w:val="23"/>
          <w:szCs w:val="23"/>
        </w:rPr>
        <w:t>«</w:t>
      </w:r>
      <w:r w:rsidR="00B77B6B">
        <w:rPr>
          <w:rFonts w:ascii="Times New Roman" w:hAnsi="Times New Roman" w:cs="Times New Roman"/>
          <w:bCs/>
          <w:i/>
          <w:iCs/>
          <w:sz w:val="23"/>
          <w:szCs w:val="23"/>
        </w:rPr>
        <w:t xml:space="preserve"> </w:t>
      </w:r>
      <w:r w:rsidRPr="0040497C">
        <w:rPr>
          <w:rFonts w:ascii="Times New Roman" w:hAnsi="Times New Roman" w:cs="Times New Roman"/>
          <w:bCs/>
          <w:i/>
          <w:iCs/>
          <w:sz w:val="23"/>
          <w:szCs w:val="23"/>
        </w:rPr>
        <w:t>restaurants et hôtels »</w:t>
      </w:r>
      <w:r>
        <w:rPr>
          <w:rFonts w:ascii="Times New Roman" w:hAnsi="Times New Roman" w:cs="Times New Roman"/>
          <w:b/>
          <w:bCs/>
          <w:i/>
          <w:iCs/>
          <w:sz w:val="23"/>
          <w:szCs w:val="23"/>
        </w:rPr>
        <w:t xml:space="preserve"> (-2,1</w:t>
      </w:r>
      <w:r w:rsidRPr="00262D3A">
        <w:rPr>
          <w:rFonts w:ascii="Times New Roman" w:hAnsi="Times New Roman" w:cs="Times New Roman"/>
          <w:b/>
          <w:bCs/>
          <w:i/>
          <w:iCs/>
          <w:sz w:val="23"/>
          <w:szCs w:val="23"/>
        </w:rPr>
        <w:t>%)</w:t>
      </w:r>
      <w:r w:rsidRPr="00BF08E4">
        <w:rPr>
          <w:rFonts w:ascii="Times New Roman" w:hAnsi="Times New Roman" w:cs="Times New Roman"/>
          <w:bCs/>
          <w:i/>
          <w:iCs/>
          <w:sz w:val="23"/>
          <w:szCs w:val="23"/>
        </w:rPr>
        <w:t>.</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Les groupes de produits dont les prix ont contribué </w:t>
      </w:r>
      <w:r w:rsidR="00DA4FA7">
        <w:rPr>
          <w:rFonts w:ascii="Times New Roman" w:hAnsi="Times New Roman" w:cs="Times New Roman"/>
          <w:bCs/>
          <w:i/>
          <w:iCs/>
          <w:sz w:val="23"/>
          <w:szCs w:val="23"/>
        </w:rPr>
        <w:t xml:space="preserve">essentiellement </w:t>
      </w:r>
      <w:r w:rsidRPr="00262D3A">
        <w:rPr>
          <w:rFonts w:ascii="Times New Roman" w:hAnsi="Times New Roman" w:cs="Times New Roman"/>
          <w:bCs/>
          <w:i/>
          <w:iCs/>
          <w:sz w:val="23"/>
          <w:szCs w:val="23"/>
        </w:rPr>
        <w:t xml:space="preserve">à cette </w:t>
      </w:r>
      <w:r w:rsidR="00BF08E4">
        <w:rPr>
          <w:rFonts w:ascii="Times New Roman" w:hAnsi="Times New Roman" w:cs="Times New Roman"/>
          <w:bCs/>
          <w:i/>
          <w:iCs/>
          <w:sz w:val="23"/>
          <w:szCs w:val="23"/>
        </w:rPr>
        <w:t>baisse</w:t>
      </w:r>
      <w:r w:rsidRPr="00262D3A">
        <w:rPr>
          <w:rFonts w:ascii="Times New Roman" w:hAnsi="Times New Roman" w:cs="Times New Roman"/>
          <w:bCs/>
          <w:i/>
          <w:iCs/>
          <w:sz w:val="23"/>
          <w:szCs w:val="23"/>
        </w:rPr>
        <w:t xml:space="preserve"> sont :</w:t>
      </w:r>
    </w:p>
    <w:p w:rsidR="00BF08E4" w:rsidRDefault="00BF08E4" w:rsidP="00BF08E4">
      <w:pPr>
        <w:pStyle w:val="Paragraphedeliste"/>
        <w:numPr>
          <w:ilvl w:val="0"/>
          <w:numId w:val="3"/>
        </w:numPr>
        <w:spacing w:line="312" w:lineRule="auto"/>
        <w:jc w:val="both"/>
        <w:rPr>
          <w:rFonts w:ascii="Times New Roman" w:hAnsi="Times New Roman" w:cs="Times New Roman"/>
          <w:bCs/>
          <w:i/>
          <w:iCs/>
          <w:sz w:val="23"/>
          <w:szCs w:val="23"/>
        </w:rPr>
      </w:pPr>
      <w:r w:rsidRPr="003D1F89">
        <w:rPr>
          <w:rFonts w:ascii="Times New Roman" w:hAnsi="Times New Roman" w:cs="Times New Roman"/>
          <w:bCs/>
          <w:i/>
          <w:iCs/>
          <w:sz w:val="23"/>
          <w:szCs w:val="23"/>
        </w:rPr>
        <w:t>« </w:t>
      </w:r>
      <w:r w:rsidRPr="005034F5">
        <w:rPr>
          <w:rFonts w:ascii="Times New Roman" w:hAnsi="Times New Roman" w:cs="Times New Roman"/>
          <w:bCs/>
          <w:i/>
          <w:iCs/>
          <w:sz w:val="23"/>
          <w:szCs w:val="23"/>
        </w:rPr>
        <w:t>Légumes frais en fruits ou racine</w:t>
      </w:r>
      <w:r w:rsidRPr="003D1F89">
        <w:rPr>
          <w:rFonts w:ascii="Times New Roman" w:hAnsi="Times New Roman" w:cs="Times New Roman"/>
          <w:bCs/>
          <w:i/>
          <w:iCs/>
          <w:sz w:val="23"/>
          <w:szCs w:val="23"/>
        </w:rPr>
        <w:t xml:space="preserve">» </w:t>
      </w:r>
      <w:r>
        <w:rPr>
          <w:rFonts w:ascii="Times New Roman" w:hAnsi="Times New Roman" w:cs="Times New Roman"/>
          <w:b/>
          <w:bCs/>
          <w:i/>
          <w:iCs/>
          <w:sz w:val="23"/>
          <w:szCs w:val="23"/>
        </w:rPr>
        <w:t>(-13,8</w:t>
      </w:r>
      <w:r w:rsidRPr="003D1F89">
        <w:rPr>
          <w:rFonts w:ascii="Times New Roman" w:hAnsi="Times New Roman" w:cs="Times New Roman"/>
          <w:b/>
          <w:bCs/>
          <w:i/>
          <w:iCs/>
          <w:sz w:val="23"/>
          <w:szCs w:val="23"/>
        </w:rPr>
        <w:t xml:space="preserve">%), </w:t>
      </w:r>
      <w:r w:rsidRPr="002213B9">
        <w:rPr>
          <w:rFonts w:ascii="Times New Roman" w:hAnsi="Times New Roman" w:cs="Times New Roman"/>
          <w:bCs/>
          <w:i/>
          <w:iCs/>
          <w:sz w:val="23"/>
          <w:szCs w:val="23"/>
        </w:rPr>
        <w:t>due à la saison de la tomate fraiche, de l’oignon frais et du poivron frais ;</w:t>
      </w:r>
    </w:p>
    <w:p w:rsidR="00BF08E4" w:rsidRDefault="00BF08E4" w:rsidP="00BF08E4">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Pr>
          <w:rFonts w:ascii="Times New Roman" w:hAnsi="Times New Roman" w:cs="Times New Roman"/>
          <w:bCs/>
          <w:i/>
          <w:iCs/>
          <w:sz w:val="23"/>
          <w:szCs w:val="23"/>
        </w:rPr>
        <w:t>Carburants et lubrifiants</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w:t>
      </w:r>
      <w:r>
        <w:rPr>
          <w:rFonts w:ascii="Times New Roman" w:hAnsi="Times New Roman" w:cs="Times New Roman"/>
          <w:b/>
          <w:bCs/>
          <w:i/>
          <w:iCs/>
          <w:sz w:val="23"/>
          <w:szCs w:val="23"/>
        </w:rPr>
        <w:t>(-3,4</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w:t>
      </w:r>
      <w:r w:rsidR="00DA4FA7">
        <w:rPr>
          <w:rFonts w:ascii="Times New Roman" w:hAnsi="Times New Roman" w:cs="Times New Roman"/>
          <w:bCs/>
          <w:i/>
          <w:iCs/>
          <w:sz w:val="23"/>
          <w:szCs w:val="23"/>
        </w:rPr>
        <w:t>à cause de</w:t>
      </w:r>
      <w:r>
        <w:rPr>
          <w:rFonts w:ascii="Times New Roman" w:hAnsi="Times New Roman" w:cs="Times New Roman"/>
          <w:bCs/>
          <w:i/>
          <w:iCs/>
          <w:sz w:val="23"/>
          <w:szCs w:val="23"/>
        </w:rPr>
        <w:t xml:space="preserve"> la baisse des prix de l’essence kpayo à la suite de l’ouverture des frontières nigérianes ;</w:t>
      </w:r>
    </w:p>
    <w:p w:rsidR="00BF08E4" w:rsidRDefault="00BF08E4" w:rsidP="00BF08E4">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Pr>
          <w:rFonts w:ascii="Times New Roman" w:hAnsi="Times New Roman" w:cs="Times New Roman"/>
          <w:bCs/>
          <w:i/>
          <w:iCs/>
          <w:sz w:val="23"/>
          <w:szCs w:val="23"/>
        </w:rPr>
        <w:t xml:space="preserve">Transport routier de passagers </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w:t>
      </w:r>
      <w:r>
        <w:rPr>
          <w:rFonts w:ascii="Times New Roman" w:hAnsi="Times New Roman" w:cs="Times New Roman"/>
          <w:b/>
          <w:bCs/>
          <w:i/>
          <w:iCs/>
          <w:sz w:val="23"/>
          <w:szCs w:val="23"/>
        </w:rPr>
        <w:t>(-7,6</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r w:rsidR="00B77B6B">
        <w:rPr>
          <w:rFonts w:ascii="Times New Roman" w:hAnsi="Times New Roman" w:cs="Times New Roman"/>
          <w:bCs/>
          <w:i/>
          <w:iCs/>
          <w:sz w:val="23"/>
          <w:szCs w:val="23"/>
        </w:rPr>
        <w:t xml:space="preserve"> liée à </w:t>
      </w:r>
      <w:r>
        <w:rPr>
          <w:rFonts w:ascii="Times New Roman" w:hAnsi="Times New Roman" w:cs="Times New Roman"/>
          <w:bCs/>
          <w:i/>
          <w:iCs/>
          <w:sz w:val="23"/>
          <w:szCs w:val="23"/>
        </w:rPr>
        <w:t xml:space="preserve">l’effet conjugué de la baisse des prix de l’essence kpayo et </w:t>
      </w:r>
      <w:r w:rsidR="00B77B6B" w:rsidRPr="003D1F89">
        <w:rPr>
          <w:rFonts w:ascii="Times New Roman" w:hAnsi="Times New Roman" w:cs="Times New Roman"/>
          <w:bCs/>
          <w:i/>
          <w:iCs/>
          <w:sz w:val="23"/>
          <w:szCs w:val="23"/>
        </w:rPr>
        <w:t>l’atténuation des mesures barrières contre la COVID-19</w:t>
      </w:r>
      <w:r>
        <w:rPr>
          <w:rFonts w:ascii="Times New Roman" w:hAnsi="Times New Roman" w:cs="Times New Roman"/>
          <w:bCs/>
          <w:i/>
          <w:iCs/>
          <w:sz w:val="23"/>
          <w:szCs w:val="23"/>
        </w:rPr>
        <w:t> ;</w:t>
      </w:r>
    </w:p>
    <w:p w:rsidR="00B77B6B" w:rsidRPr="0097627D" w:rsidRDefault="00B77B6B" w:rsidP="00B77B6B">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Pr>
          <w:rFonts w:ascii="Times New Roman" w:hAnsi="Times New Roman" w:cs="Times New Roman"/>
          <w:bCs/>
          <w:i/>
          <w:iCs/>
          <w:sz w:val="23"/>
          <w:szCs w:val="23"/>
        </w:rPr>
        <w:t xml:space="preserve">Combustibles solides </w:t>
      </w:r>
      <w:r w:rsidRPr="00262D3A">
        <w:rPr>
          <w:rFonts w:ascii="Times New Roman" w:hAnsi="Times New Roman" w:cs="Times New Roman"/>
          <w:bCs/>
          <w:i/>
          <w:iCs/>
          <w:sz w:val="23"/>
          <w:szCs w:val="23"/>
        </w:rPr>
        <w:t xml:space="preserve">» </w:t>
      </w:r>
      <w:r>
        <w:rPr>
          <w:rFonts w:ascii="Times New Roman" w:hAnsi="Times New Roman" w:cs="Times New Roman"/>
          <w:b/>
          <w:bCs/>
          <w:i/>
          <w:iCs/>
          <w:sz w:val="23"/>
          <w:szCs w:val="23"/>
        </w:rPr>
        <w:t>(-14,2</w:t>
      </w:r>
      <w:r w:rsidRPr="00262D3A">
        <w:rPr>
          <w:rFonts w:ascii="Times New Roman" w:hAnsi="Times New Roman" w:cs="Times New Roman"/>
          <w:b/>
          <w:bCs/>
          <w:i/>
          <w:iCs/>
          <w:sz w:val="23"/>
          <w:szCs w:val="23"/>
        </w:rPr>
        <w:t>%)</w:t>
      </w:r>
      <w:r>
        <w:rPr>
          <w:rFonts w:ascii="Times New Roman" w:hAnsi="Times New Roman" w:cs="Times New Roman"/>
          <w:bCs/>
          <w:i/>
          <w:iCs/>
          <w:sz w:val="23"/>
          <w:szCs w:val="23"/>
        </w:rPr>
        <w:t>, en raison de la baisse des prix du charbon de bois et du bois de chauffage à la suite de la fin de la saison pluvieuse ;</w:t>
      </w:r>
    </w:p>
    <w:p w:rsidR="00B77B6B" w:rsidRPr="0097627D" w:rsidRDefault="00B77B6B" w:rsidP="00B77B6B">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Pr>
          <w:rFonts w:ascii="Times New Roman" w:hAnsi="Times New Roman" w:cs="Times New Roman"/>
          <w:bCs/>
          <w:i/>
          <w:iCs/>
          <w:sz w:val="23"/>
          <w:szCs w:val="23"/>
        </w:rPr>
        <w:t xml:space="preserve">Restaurants, cafés et établissements similaires </w:t>
      </w:r>
      <w:r w:rsidRPr="00262D3A">
        <w:rPr>
          <w:rFonts w:ascii="Times New Roman" w:hAnsi="Times New Roman" w:cs="Times New Roman"/>
          <w:bCs/>
          <w:i/>
          <w:iCs/>
          <w:sz w:val="23"/>
          <w:szCs w:val="23"/>
        </w:rPr>
        <w:t xml:space="preserve">» </w:t>
      </w:r>
      <w:r>
        <w:rPr>
          <w:rFonts w:ascii="Times New Roman" w:hAnsi="Times New Roman" w:cs="Times New Roman"/>
          <w:b/>
          <w:bCs/>
          <w:i/>
          <w:iCs/>
          <w:sz w:val="23"/>
          <w:szCs w:val="23"/>
        </w:rPr>
        <w:t>(-14,2</w:t>
      </w:r>
      <w:r w:rsidRPr="00262D3A">
        <w:rPr>
          <w:rFonts w:ascii="Times New Roman" w:hAnsi="Times New Roman" w:cs="Times New Roman"/>
          <w:b/>
          <w:bCs/>
          <w:i/>
          <w:iCs/>
          <w:sz w:val="23"/>
          <w:szCs w:val="23"/>
        </w:rPr>
        <w:t>%)</w:t>
      </w:r>
      <w:r>
        <w:rPr>
          <w:rFonts w:ascii="Times New Roman" w:hAnsi="Times New Roman" w:cs="Times New Roman"/>
          <w:b/>
          <w:bCs/>
          <w:i/>
          <w:iCs/>
          <w:sz w:val="23"/>
          <w:szCs w:val="23"/>
        </w:rPr>
        <w:t xml:space="preserve">, </w:t>
      </w:r>
      <w:r w:rsidRPr="003256CC">
        <w:rPr>
          <w:rFonts w:ascii="Times New Roman" w:hAnsi="Times New Roman" w:cs="Times New Roman"/>
          <w:bCs/>
          <w:i/>
          <w:iCs/>
          <w:sz w:val="23"/>
          <w:szCs w:val="23"/>
        </w:rPr>
        <w:t xml:space="preserve">favorisée par </w:t>
      </w:r>
      <w:r>
        <w:rPr>
          <w:rFonts w:ascii="Times New Roman" w:hAnsi="Times New Roman" w:cs="Times New Roman"/>
          <w:bCs/>
          <w:i/>
          <w:iCs/>
          <w:sz w:val="23"/>
          <w:szCs w:val="23"/>
        </w:rPr>
        <w:t xml:space="preserve">les </w:t>
      </w:r>
      <w:r w:rsidRPr="003256CC">
        <w:rPr>
          <w:rFonts w:ascii="Times New Roman" w:hAnsi="Times New Roman" w:cs="Times New Roman"/>
          <w:bCs/>
          <w:i/>
          <w:iCs/>
          <w:sz w:val="23"/>
          <w:szCs w:val="23"/>
        </w:rPr>
        <w:t>fêtes de fin d’année</w:t>
      </w:r>
      <w:r>
        <w:rPr>
          <w:rFonts w:ascii="Times New Roman" w:hAnsi="Times New Roman" w:cs="Times New Roman"/>
          <w:bCs/>
          <w:i/>
          <w:iCs/>
          <w:sz w:val="23"/>
          <w:szCs w:val="23"/>
        </w:rPr>
        <w:t> ;</w:t>
      </w:r>
    </w:p>
    <w:p w:rsidR="00B77B6B" w:rsidRPr="00B77B6B" w:rsidRDefault="00B77B6B" w:rsidP="00B77B6B">
      <w:pPr>
        <w:spacing w:line="312" w:lineRule="auto"/>
        <w:jc w:val="both"/>
        <w:rPr>
          <w:rFonts w:ascii="Times New Roman" w:hAnsi="Times New Roman" w:cs="Times New Roman"/>
          <w:bCs/>
          <w:i/>
          <w:iCs/>
          <w:sz w:val="23"/>
          <w:szCs w:val="23"/>
        </w:rPr>
      </w:pPr>
      <w:r w:rsidRPr="00B77B6B">
        <w:rPr>
          <w:rFonts w:ascii="Times New Roman" w:hAnsi="Times New Roman" w:cs="Times New Roman"/>
          <w:bCs/>
          <w:i/>
          <w:iCs/>
          <w:sz w:val="23"/>
          <w:szCs w:val="23"/>
        </w:rPr>
        <w:t xml:space="preserve">Cette évolution a été modérée par la </w:t>
      </w:r>
      <w:r>
        <w:rPr>
          <w:rFonts w:ascii="Times New Roman" w:hAnsi="Times New Roman" w:cs="Times New Roman"/>
          <w:bCs/>
          <w:i/>
          <w:iCs/>
          <w:sz w:val="23"/>
          <w:szCs w:val="23"/>
        </w:rPr>
        <w:t xml:space="preserve">hausse </w:t>
      </w:r>
      <w:r w:rsidRPr="00B77B6B">
        <w:rPr>
          <w:rFonts w:ascii="Times New Roman" w:hAnsi="Times New Roman" w:cs="Times New Roman"/>
          <w:bCs/>
          <w:i/>
          <w:iCs/>
          <w:sz w:val="23"/>
          <w:szCs w:val="23"/>
        </w:rPr>
        <w:t xml:space="preserve">des prix des groupes de produits : </w:t>
      </w:r>
    </w:p>
    <w:p w:rsidR="00B77B6B" w:rsidRDefault="00B77B6B" w:rsidP="00B77B6B">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Huile</w:t>
      </w:r>
      <w:r w:rsidRPr="00262D3A">
        <w:rPr>
          <w:rFonts w:ascii="Times New Roman" w:hAnsi="Times New Roman" w:cs="Times New Roman"/>
          <w:bCs/>
          <w:i/>
          <w:iCs/>
          <w:sz w:val="23"/>
          <w:szCs w:val="23"/>
        </w:rPr>
        <w:t xml:space="preserve"> »</w:t>
      </w:r>
      <w:r>
        <w:rPr>
          <w:rFonts w:ascii="Times New Roman" w:hAnsi="Times New Roman" w:cs="Times New Roman"/>
          <w:b/>
          <w:bCs/>
          <w:i/>
          <w:iCs/>
          <w:sz w:val="23"/>
          <w:szCs w:val="23"/>
        </w:rPr>
        <w:t xml:space="preserve"> (+2,1</w:t>
      </w:r>
      <w:r w:rsidRPr="00262D3A">
        <w:rPr>
          <w:rFonts w:ascii="Times New Roman" w:hAnsi="Times New Roman" w:cs="Times New Roman"/>
          <w:b/>
          <w:bCs/>
          <w:i/>
          <w:iCs/>
          <w:sz w:val="23"/>
          <w:szCs w:val="23"/>
        </w:rPr>
        <w:t>%)</w:t>
      </w:r>
      <w:r w:rsidRPr="003256CC">
        <w:rPr>
          <w:rFonts w:ascii="Times New Roman" w:hAnsi="Times New Roman" w:cs="Times New Roman"/>
          <w:bCs/>
          <w:i/>
          <w:iCs/>
          <w:sz w:val="23"/>
          <w:szCs w:val="23"/>
        </w:rPr>
        <w:t>,</w:t>
      </w:r>
      <w:r>
        <w:rPr>
          <w:rFonts w:ascii="Times New Roman" w:hAnsi="Times New Roman" w:cs="Times New Roman"/>
          <w:bCs/>
          <w:i/>
          <w:iCs/>
          <w:sz w:val="23"/>
          <w:szCs w:val="23"/>
        </w:rPr>
        <w:t xml:space="preserve"> </w:t>
      </w:r>
      <w:r w:rsidRPr="007D17BA">
        <w:rPr>
          <w:rFonts w:ascii="Times New Roman" w:hAnsi="Times New Roman" w:cs="Times New Roman"/>
          <w:bCs/>
          <w:i/>
          <w:iCs/>
          <w:sz w:val="23"/>
          <w:szCs w:val="23"/>
        </w:rPr>
        <w:t>en raison d’une forte spéculation sur les prix de l’huile végétale en période des fêtes de fin d’année</w:t>
      </w:r>
      <w:r>
        <w:rPr>
          <w:rFonts w:ascii="Times New Roman" w:hAnsi="Times New Roman" w:cs="Times New Roman"/>
          <w:bCs/>
          <w:i/>
          <w:iCs/>
          <w:sz w:val="23"/>
          <w:szCs w:val="23"/>
        </w:rPr>
        <w:t xml:space="preserve"> </w:t>
      </w:r>
      <w:r w:rsidRPr="003256CC">
        <w:rPr>
          <w:rFonts w:ascii="Times New Roman" w:hAnsi="Times New Roman" w:cs="Times New Roman"/>
          <w:bCs/>
          <w:i/>
          <w:iCs/>
          <w:sz w:val="23"/>
          <w:szCs w:val="23"/>
        </w:rPr>
        <w:t>;</w:t>
      </w:r>
    </w:p>
    <w:p w:rsidR="00BF08E4" w:rsidRPr="00B77B6B" w:rsidRDefault="00B77B6B" w:rsidP="00B77B6B">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sidRPr="003D1F89">
        <w:rPr>
          <w:rFonts w:ascii="Times New Roman" w:hAnsi="Times New Roman" w:cs="Times New Roman"/>
          <w:bCs/>
          <w:i/>
          <w:iCs/>
          <w:sz w:val="23"/>
          <w:szCs w:val="23"/>
        </w:rPr>
        <w:t>Tubercules et plantain</w:t>
      </w:r>
      <w:r w:rsidRPr="00262D3A">
        <w:rPr>
          <w:rFonts w:ascii="Times New Roman" w:hAnsi="Times New Roman" w:cs="Times New Roman"/>
          <w:bCs/>
          <w:i/>
          <w:iCs/>
          <w:sz w:val="23"/>
          <w:szCs w:val="23"/>
        </w:rPr>
        <w:t xml:space="preserve">» </w:t>
      </w:r>
      <w:r>
        <w:rPr>
          <w:rFonts w:ascii="Times New Roman" w:hAnsi="Times New Roman" w:cs="Times New Roman"/>
          <w:b/>
          <w:bCs/>
          <w:i/>
          <w:iCs/>
          <w:sz w:val="23"/>
          <w:szCs w:val="23"/>
        </w:rPr>
        <w:t>(+2,5</w:t>
      </w:r>
      <w:r w:rsidRPr="00262D3A">
        <w:rPr>
          <w:rFonts w:ascii="Times New Roman" w:hAnsi="Times New Roman" w:cs="Times New Roman"/>
          <w:b/>
          <w:bCs/>
          <w:i/>
          <w:iCs/>
          <w:sz w:val="23"/>
          <w:szCs w:val="23"/>
        </w:rPr>
        <w:t>%)</w:t>
      </w:r>
      <w:r>
        <w:rPr>
          <w:rFonts w:ascii="Times New Roman" w:hAnsi="Times New Roman" w:cs="Times New Roman"/>
          <w:bCs/>
          <w:i/>
          <w:iCs/>
          <w:sz w:val="23"/>
          <w:szCs w:val="23"/>
        </w:rPr>
        <w:t>, à cause d’une forte demande des denrées telles l’igname fraiche et le plantain lors des fêtes de fin d’année ;</w:t>
      </w:r>
    </w:p>
    <w:p w:rsidR="003325FE" w:rsidRPr="00DA4FA7" w:rsidRDefault="00D30AFA" w:rsidP="00DA4FA7">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Pr>
          <w:rFonts w:ascii="Times New Roman" w:hAnsi="Times New Roman" w:cs="Times New Roman"/>
          <w:bCs/>
          <w:i/>
          <w:iCs/>
          <w:sz w:val="23"/>
          <w:szCs w:val="23"/>
        </w:rPr>
        <w:t xml:space="preserve">Vêtements </w:t>
      </w:r>
      <w:r w:rsidRPr="00262D3A">
        <w:rPr>
          <w:rFonts w:ascii="Times New Roman" w:hAnsi="Times New Roman" w:cs="Times New Roman"/>
          <w:bCs/>
          <w:i/>
          <w:iCs/>
          <w:sz w:val="23"/>
          <w:szCs w:val="23"/>
        </w:rPr>
        <w:t xml:space="preserve">» </w:t>
      </w:r>
      <w:r>
        <w:rPr>
          <w:rFonts w:ascii="Times New Roman" w:hAnsi="Times New Roman" w:cs="Times New Roman"/>
          <w:b/>
          <w:bCs/>
          <w:i/>
          <w:iCs/>
          <w:sz w:val="23"/>
          <w:szCs w:val="23"/>
        </w:rPr>
        <w:t>(+2,</w:t>
      </w:r>
      <w:r w:rsidR="00B77B6B">
        <w:rPr>
          <w:rFonts w:ascii="Times New Roman" w:hAnsi="Times New Roman" w:cs="Times New Roman"/>
          <w:b/>
          <w:bCs/>
          <w:i/>
          <w:iCs/>
          <w:sz w:val="23"/>
          <w:szCs w:val="23"/>
        </w:rPr>
        <w:t>1</w:t>
      </w:r>
      <w:r w:rsidRPr="00262D3A">
        <w:rPr>
          <w:rFonts w:ascii="Times New Roman" w:hAnsi="Times New Roman" w:cs="Times New Roman"/>
          <w:b/>
          <w:bCs/>
          <w:i/>
          <w:iCs/>
          <w:sz w:val="23"/>
          <w:szCs w:val="23"/>
        </w:rPr>
        <w:t>%)</w:t>
      </w:r>
      <w:r>
        <w:rPr>
          <w:rFonts w:ascii="Times New Roman" w:hAnsi="Times New Roman" w:cs="Times New Roman"/>
          <w:bCs/>
          <w:i/>
          <w:iCs/>
          <w:sz w:val="23"/>
          <w:szCs w:val="23"/>
        </w:rPr>
        <w:t>, due aux fêtes de fin d’année ;</w:t>
      </w:r>
    </w:p>
    <w:p w:rsidR="003671B8" w:rsidRPr="00262D3A" w:rsidRDefault="003671B8" w:rsidP="003671B8">
      <w:pPr>
        <w:numPr>
          <w:ilvl w:val="0"/>
          <w:numId w:val="3"/>
        </w:numPr>
        <w:spacing w:line="312" w:lineRule="auto"/>
        <w:ind w:left="567" w:hanging="207"/>
        <w:jc w:val="both"/>
        <w:rPr>
          <w:sz w:val="6"/>
          <w:szCs w:val="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IHPC en glissement annuel</w:t>
      </w:r>
    </w:p>
    <w:p w:rsidR="00262D3A"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Par rapport à </w:t>
      </w:r>
      <w:r w:rsidR="00211BED">
        <w:rPr>
          <w:rFonts w:ascii="Times New Roman" w:hAnsi="Times New Roman" w:cs="Times New Roman"/>
          <w:bCs/>
          <w:i/>
          <w:iCs/>
          <w:sz w:val="23"/>
          <w:szCs w:val="23"/>
        </w:rPr>
        <w:t>décembre</w:t>
      </w:r>
      <w:r w:rsidRPr="00262D3A">
        <w:rPr>
          <w:rFonts w:ascii="Times New Roman" w:hAnsi="Times New Roman" w:cs="Times New Roman"/>
          <w:bCs/>
          <w:i/>
          <w:iCs/>
          <w:sz w:val="23"/>
          <w:szCs w:val="23"/>
        </w:rPr>
        <w:t xml:space="preserve"> 2019, la variation de l’IHPC est de </w:t>
      </w:r>
      <w:r w:rsidRPr="00262D3A">
        <w:rPr>
          <w:rFonts w:ascii="Times New Roman" w:hAnsi="Times New Roman" w:cs="Times New Roman"/>
          <w:b/>
          <w:bCs/>
          <w:i/>
          <w:iCs/>
          <w:sz w:val="23"/>
          <w:szCs w:val="23"/>
        </w:rPr>
        <w:t>+</w:t>
      </w:r>
      <w:r w:rsidR="00DA4FA7">
        <w:rPr>
          <w:rFonts w:ascii="Times New Roman" w:hAnsi="Times New Roman" w:cs="Times New Roman"/>
          <w:b/>
          <w:bCs/>
          <w:i/>
          <w:iCs/>
          <w:sz w:val="23"/>
          <w:szCs w:val="23"/>
        </w:rPr>
        <w:t>1,1</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contre </w:t>
      </w:r>
      <w:r w:rsidR="00211BED">
        <w:rPr>
          <w:rFonts w:ascii="Times New Roman" w:hAnsi="Times New Roman" w:cs="Times New Roman"/>
          <w:b/>
          <w:bCs/>
          <w:i/>
          <w:iCs/>
          <w:sz w:val="23"/>
          <w:szCs w:val="23"/>
        </w:rPr>
        <w:t>+2,1</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le mois précédent.</w:t>
      </w:r>
    </w:p>
    <w:p w:rsidR="003671B8" w:rsidRPr="00262D3A" w:rsidRDefault="003671B8" w:rsidP="003671B8">
      <w:pPr>
        <w:spacing w:line="312" w:lineRule="auto"/>
        <w:jc w:val="both"/>
        <w:rPr>
          <w:rFonts w:ascii="Times New Roman" w:hAnsi="Times New Roman" w:cs="Times New Roman"/>
          <w:bCs/>
          <w:i/>
          <w:iCs/>
          <w:sz w:val="6"/>
          <w:szCs w:val="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 xml:space="preserve">IHPC suivant la nature et l’origine du produit </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Par rapport à la nature des produits :</w:t>
      </w:r>
    </w:p>
    <w:p w:rsidR="003671B8" w:rsidRPr="00262D3A" w:rsidRDefault="003671B8" w:rsidP="003671B8">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lastRenderedPageBreak/>
        <w:t>en variation mensuelle, les prix des</w:t>
      </w:r>
      <w:r w:rsidR="00C86D58">
        <w:rPr>
          <w:rFonts w:ascii="Times New Roman" w:hAnsi="Times New Roman" w:cs="Times New Roman"/>
          <w:bCs/>
          <w:i/>
          <w:iCs/>
          <w:sz w:val="23"/>
          <w:szCs w:val="23"/>
        </w:rPr>
        <w:t xml:space="preserve"> « produits frais », des </w:t>
      </w:r>
      <w:r w:rsidR="009615E2" w:rsidRPr="00262D3A">
        <w:rPr>
          <w:rFonts w:ascii="Times New Roman" w:hAnsi="Times New Roman" w:cs="Times New Roman"/>
          <w:bCs/>
          <w:i/>
          <w:iCs/>
          <w:sz w:val="23"/>
          <w:szCs w:val="23"/>
        </w:rPr>
        <w:t>« produits énergétiques »</w:t>
      </w:r>
      <w:r w:rsidR="00C86D58">
        <w:rPr>
          <w:rFonts w:ascii="Times New Roman" w:hAnsi="Times New Roman" w:cs="Times New Roman"/>
          <w:bCs/>
          <w:i/>
          <w:iCs/>
          <w:sz w:val="23"/>
          <w:szCs w:val="23"/>
        </w:rPr>
        <w:t xml:space="preserve"> </w:t>
      </w:r>
      <w:r w:rsidR="00451C49" w:rsidRPr="00262D3A">
        <w:rPr>
          <w:rFonts w:ascii="Times New Roman" w:hAnsi="Times New Roman" w:cs="Times New Roman"/>
          <w:bCs/>
          <w:i/>
          <w:iCs/>
          <w:sz w:val="23"/>
          <w:szCs w:val="23"/>
        </w:rPr>
        <w:t xml:space="preserve">et </w:t>
      </w:r>
      <w:r w:rsidR="00451C49">
        <w:rPr>
          <w:rFonts w:ascii="Times New Roman" w:hAnsi="Times New Roman" w:cs="Times New Roman"/>
          <w:bCs/>
          <w:i/>
          <w:iCs/>
          <w:sz w:val="23"/>
          <w:szCs w:val="23"/>
        </w:rPr>
        <w:t xml:space="preserve">des </w:t>
      </w:r>
      <w:r w:rsidR="00451C49" w:rsidRPr="00262D3A">
        <w:rPr>
          <w:rFonts w:ascii="Times New Roman" w:hAnsi="Times New Roman" w:cs="Times New Roman"/>
          <w:bCs/>
          <w:i/>
          <w:iCs/>
          <w:sz w:val="23"/>
          <w:szCs w:val="23"/>
        </w:rPr>
        <w:t xml:space="preserve">« hors produits frais et hors énergie » ont </w:t>
      </w:r>
      <w:r w:rsidR="00C86D58">
        <w:rPr>
          <w:rFonts w:ascii="Times New Roman" w:hAnsi="Times New Roman" w:cs="Times New Roman"/>
          <w:bCs/>
          <w:i/>
          <w:iCs/>
          <w:sz w:val="23"/>
          <w:szCs w:val="23"/>
        </w:rPr>
        <w:t xml:space="preserve">tous baissé </w:t>
      </w:r>
      <w:r w:rsidR="00451C49" w:rsidRPr="00262D3A">
        <w:rPr>
          <w:rFonts w:ascii="Times New Roman" w:hAnsi="Times New Roman" w:cs="Times New Roman"/>
          <w:bCs/>
          <w:i/>
          <w:iCs/>
          <w:sz w:val="23"/>
          <w:szCs w:val="23"/>
        </w:rPr>
        <w:t xml:space="preserve"> respectivement de </w:t>
      </w:r>
      <w:r w:rsidR="00C86D58">
        <w:rPr>
          <w:rFonts w:ascii="Times New Roman" w:hAnsi="Times New Roman" w:cs="Times New Roman"/>
          <w:b/>
          <w:bCs/>
          <w:i/>
          <w:iCs/>
          <w:sz w:val="23"/>
          <w:szCs w:val="23"/>
        </w:rPr>
        <w:t>5,4</w:t>
      </w:r>
      <w:r w:rsidR="00451C49" w:rsidRPr="00262D3A">
        <w:rPr>
          <w:rFonts w:ascii="Times New Roman" w:hAnsi="Times New Roman" w:cs="Times New Roman"/>
          <w:b/>
          <w:bCs/>
          <w:i/>
          <w:iCs/>
          <w:sz w:val="23"/>
          <w:szCs w:val="23"/>
        </w:rPr>
        <w:t>%</w:t>
      </w:r>
      <w:r w:rsidR="00C86D58">
        <w:rPr>
          <w:rFonts w:ascii="Times New Roman" w:hAnsi="Times New Roman" w:cs="Times New Roman"/>
          <w:bCs/>
          <w:i/>
          <w:iCs/>
          <w:sz w:val="23"/>
          <w:szCs w:val="23"/>
        </w:rPr>
        <w:t xml:space="preserve">, </w:t>
      </w:r>
      <w:r w:rsidR="00451C49" w:rsidRPr="00262D3A">
        <w:rPr>
          <w:rFonts w:ascii="Times New Roman" w:hAnsi="Times New Roman" w:cs="Times New Roman"/>
          <w:bCs/>
          <w:i/>
          <w:iCs/>
          <w:sz w:val="23"/>
          <w:szCs w:val="23"/>
        </w:rPr>
        <w:t>de</w:t>
      </w:r>
      <w:r w:rsidR="00C86D58">
        <w:rPr>
          <w:rFonts w:ascii="Times New Roman" w:hAnsi="Times New Roman" w:cs="Times New Roman"/>
          <w:bCs/>
          <w:i/>
          <w:iCs/>
          <w:sz w:val="23"/>
          <w:szCs w:val="23"/>
        </w:rPr>
        <w:t xml:space="preserve"> </w:t>
      </w:r>
      <w:r w:rsidR="00C86D58" w:rsidRPr="00C86D58">
        <w:rPr>
          <w:rFonts w:ascii="Times New Roman" w:hAnsi="Times New Roman" w:cs="Times New Roman"/>
          <w:b/>
          <w:bCs/>
          <w:i/>
          <w:iCs/>
          <w:sz w:val="23"/>
          <w:szCs w:val="23"/>
        </w:rPr>
        <w:t>4,8</w:t>
      </w:r>
      <w:r w:rsidR="00451C49" w:rsidRPr="00262D3A">
        <w:rPr>
          <w:rFonts w:ascii="Times New Roman" w:hAnsi="Times New Roman" w:cs="Times New Roman"/>
          <w:b/>
          <w:bCs/>
          <w:i/>
          <w:iCs/>
          <w:sz w:val="23"/>
          <w:szCs w:val="23"/>
        </w:rPr>
        <w:t>%</w:t>
      </w:r>
      <w:r w:rsidR="00C86D58">
        <w:rPr>
          <w:rFonts w:ascii="Times New Roman" w:hAnsi="Times New Roman" w:cs="Times New Roman"/>
          <w:b/>
          <w:bCs/>
          <w:i/>
          <w:iCs/>
          <w:sz w:val="23"/>
          <w:szCs w:val="23"/>
        </w:rPr>
        <w:t xml:space="preserve"> </w:t>
      </w:r>
      <w:r w:rsidR="00C86D58" w:rsidRPr="00C86D58">
        <w:rPr>
          <w:rFonts w:ascii="Times New Roman" w:hAnsi="Times New Roman" w:cs="Times New Roman"/>
          <w:bCs/>
          <w:i/>
          <w:iCs/>
          <w:sz w:val="23"/>
          <w:szCs w:val="23"/>
        </w:rPr>
        <w:t>et de</w:t>
      </w:r>
      <w:r w:rsidR="00C86D58">
        <w:rPr>
          <w:rFonts w:ascii="Times New Roman" w:hAnsi="Times New Roman" w:cs="Times New Roman"/>
          <w:b/>
          <w:bCs/>
          <w:i/>
          <w:iCs/>
          <w:sz w:val="23"/>
          <w:szCs w:val="23"/>
        </w:rPr>
        <w:t xml:space="preserve"> 0,9% </w:t>
      </w:r>
      <w:r w:rsidRPr="00262D3A">
        <w:rPr>
          <w:rFonts w:ascii="Times New Roman" w:hAnsi="Times New Roman" w:cs="Times New Roman"/>
          <w:bCs/>
          <w:i/>
          <w:iCs/>
          <w:sz w:val="23"/>
          <w:szCs w:val="23"/>
        </w:rPr>
        <w:t>;</w:t>
      </w:r>
    </w:p>
    <w:p w:rsidR="003671B8" w:rsidRPr="004542EC" w:rsidRDefault="003671B8" w:rsidP="004542EC">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w:t>
      </w:r>
      <w:r w:rsidR="009615E2" w:rsidRPr="00262D3A">
        <w:rPr>
          <w:rFonts w:ascii="Times New Roman" w:hAnsi="Times New Roman" w:cs="Times New Roman"/>
          <w:bCs/>
          <w:i/>
          <w:iCs/>
          <w:sz w:val="23"/>
          <w:szCs w:val="23"/>
        </w:rPr>
        <w:t>les prix des</w:t>
      </w:r>
      <w:r w:rsidR="00F054B0">
        <w:rPr>
          <w:rFonts w:ascii="Times New Roman" w:hAnsi="Times New Roman" w:cs="Times New Roman"/>
          <w:bCs/>
          <w:i/>
          <w:iCs/>
          <w:sz w:val="23"/>
          <w:szCs w:val="23"/>
        </w:rPr>
        <w:t xml:space="preserve"> </w:t>
      </w:r>
      <w:r w:rsidR="009615E2" w:rsidRPr="00262D3A">
        <w:rPr>
          <w:rFonts w:ascii="Times New Roman" w:hAnsi="Times New Roman" w:cs="Times New Roman"/>
          <w:bCs/>
          <w:i/>
          <w:iCs/>
          <w:sz w:val="23"/>
          <w:szCs w:val="23"/>
        </w:rPr>
        <w:t xml:space="preserve">« produits énergétiques »  ont </w:t>
      </w:r>
      <w:r w:rsidR="009615E2">
        <w:rPr>
          <w:rFonts w:ascii="Times New Roman" w:hAnsi="Times New Roman" w:cs="Times New Roman"/>
          <w:bCs/>
          <w:i/>
          <w:iCs/>
          <w:sz w:val="23"/>
          <w:szCs w:val="23"/>
        </w:rPr>
        <w:t>diminué</w:t>
      </w:r>
      <w:r w:rsidR="009615E2" w:rsidRPr="00262D3A">
        <w:rPr>
          <w:rFonts w:ascii="Times New Roman" w:hAnsi="Times New Roman" w:cs="Times New Roman"/>
          <w:bCs/>
          <w:i/>
          <w:iCs/>
          <w:sz w:val="23"/>
          <w:szCs w:val="23"/>
        </w:rPr>
        <w:t xml:space="preserve"> de </w:t>
      </w:r>
      <w:r w:rsidR="00C86D58">
        <w:rPr>
          <w:rFonts w:ascii="Times New Roman" w:hAnsi="Times New Roman" w:cs="Times New Roman"/>
          <w:b/>
          <w:bCs/>
          <w:i/>
          <w:iCs/>
          <w:sz w:val="23"/>
          <w:szCs w:val="23"/>
        </w:rPr>
        <w:t>11,8</w:t>
      </w:r>
      <w:r w:rsidR="009615E2" w:rsidRPr="00262D3A">
        <w:rPr>
          <w:rFonts w:ascii="Times New Roman" w:hAnsi="Times New Roman" w:cs="Times New Roman"/>
          <w:b/>
          <w:bCs/>
          <w:i/>
          <w:iCs/>
          <w:sz w:val="23"/>
          <w:szCs w:val="23"/>
        </w:rPr>
        <w:t>%</w:t>
      </w:r>
      <w:r w:rsidR="009615E2" w:rsidRPr="00262D3A">
        <w:rPr>
          <w:rFonts w:ascii="Times New Roman" w:hAnsi="Times New Roman" w:cs="Times New Roman"/>
          <w:bCs/>
          <w:i/>
          <w:iCs/>
          <w:sz w:val="23"/>
          <w:szCs w:val="23"/>
        </w:rPr>
        <w:t xml:space="preserve"> alors que ceux des</w:t>
      </w:r>
      <w:r w:rsidR="009615E2">
        <w:rPr>
          <w:rFonts w:ascii="Times New Roman" w:hAnsi="Times New Roman" w:cs="Times New Roman"/>
          <w:bCs/>
          <w:i/>
          <w:iCs/>
          <w:sz w:val="23"/>
          <w:szCs w:val="23"/>
        </w:rPr>
        <w:t xml:space="preserve"> « produits frais » </w:t>
      </w:r>
      <w:r w:rsidR="009615E2" w:rsidRPr="00262D3A">
        <w:rPr>
          <w:rFonts w:ascii="Times New Roman" w:hAnsi="Times New Roman" w:cs="Times New Roman"/>
          <w:bCs/>
          <w:i/>
          <w:iCs/>
          <w:sz w:val="23"/>
          <w:szCs w:val="23"/>
        </w:rPr>
        <w:t xml:space="preserve">et « hors produits frais et hors énergie » ont </w:t>
      </w:r>
      <w:r w:rsidR="009615E2">
        <w:rPr>
          <w:rFonts w:ascii="Times New Roman" w:hAnsi="Times New Roman" w:cs="Times New Roman"/>
          <w:bCs/>
          <w:i/>
          <w:iCs/>
          <w:sz w:val="23"/>
          <w:szCs w:val="23"/>
        </w:rPr>
        <w:t>augmenté</w:t>
      </w:r>
      <w:r w:rsidR="009615E2" w:rsidRPr="00262D3A">
        <w:rPr>
          <w:rFonts w:ascii="Times New Roman" w:hAnsi="Times New Roman" w:cs="Times New Roman"/>
          <w:bCs/>
          <w:i/>
          <w:iCs/>
          <w:sz w:val="23"/>
          <w:szCs w:val="23"/>
        </w:rPr>
        <w:t xml:space="preserve"> respectivement de </w:t>
      </w:r>
      <w:r w:rsidR="00C86D58">
        <w:rPr>
          <w:rFonts w:ascii="Times New Roman" w:hAnsi="Times New Roman" w:cs="Times New Roman"/>
          <w:b/>
          <w:bCs/>
          <w:i/>
          <w:iCs/>
          <w:sz w:val="23"/>
          <w:szCs w:val="23"/>
        </w:rPr>
        <w:t>3,3</w:t>
      </w:r>
      <w:r w:rsidR="009615E2" w:rsidRPr="00262D3A">
        <w:rPr>
          <w:rFonts w:ascii="Times New Roman" w:hAnsi="Times New Roman" w:cs="Times New Roman"/>
          <w:b/>
          <w:bCs/>
          <w:i/>
          <w:iCs/>
          <w:sz w:val="23"/>
          <w:szCs w:val="23"/>
        </w:rPr>
        <w:t>%</w:t>
      </w:r>
      <w:r w:rsidR="009615E2" w:rsidRPr="00262D3A">
        <w:rPr>
          <w:rFonts w:ascii="Times New Roman" w:hAnsi="Times New Roman" w:cs="Times New Roman"/>
          <w:bCs/>
          <w:i/>
          <w:iCs/>
          <w:sz w:val="23"/>
          <w:szCs w:val="23"/>
        </w:rPr>
        <w:t xml:space="preserve"> et de </w:t>
      </w:r>
      <w:r w:rsidR="00C86D58">
        <w:rPr>
          <w:rFonts w:ascii="Times New Roman" w:hAnsi="Times New Roman" w:cs="Times New Roman"/>
          <w:b/>
          <w:bCs/>
          <w:i/>
          <w:iCs/>
          <w:sz w:val="23"/>
          <w:szCs w:val="23"/>
        </w:rPr>
        <w:t>2,6</w:t>
      </w:r>
      <w:r w:rsidR="009615E2" w:rsidRPr="00262D3A">
        <w:rPr>
          <w:rFonts w:ascii="Times New Roman" w:hAnsi="Times New Roman" w:cs="Times New Roman"/>
          <w:b/>
          <w:bCs/>
          <w:i/>
          <w:iCs/>
          <w:sz w:val="23"/>
          <w:szCs w:val="23"/>
        </w:rPr>
        <w:t xml:space="preserve">% </w:t>
      </w:r>
      <w:r w:rsidR="009615E2" w:rsidRPr="00262D3A">
        <w:rPr>
          <w:rFonts w:ascii="Times New Roman" w:hAnsi="Times New Roman" w:cs="Times New Roman"/>
          <w:bCs/>
          <w:i/>
          <w:iCs/>
          <w:sz w:val="23"/>
          <w:szCs w:val="23"/>
        </w:rPr>
        <w:t>;</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Sur la base de l’origine des produits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 « produits importés »</w:t>
      </w:r>
      <w:r w:rsidR="000B537B">
        <w:rPr>
          <w:rFonts w:ascii="Times New Roman" w:hAnsi="Times New Roman" w:cs="Times New Roman"/>
          <w:bCs/>
          <w:i/>
          <w:iCs/>
          <w:sz w:val="23"/>
          <w:szCs w:val="23"/>
        </w:rPr>
        <w:t xml:space="preserve"> </w:t>
      </w:r>
      <w:r w:rsidR="00C86D58">
        <w:rPr>
          <w:rFonts w:ascii="Times New Roman" w:hAnsi="Times New Roman" w:cs="Times New Roman"/>
          <w:bCs/>
          <w:i/>
          <w:iCs/>
          <w:sz w:val="23"/>
          <w:szCs w:val="23"/>
        </w:rPr>
        <w:t xml:space="preserve">et ceux des « produits locaux »  </w:t>
      </w:r>
      <w:r w:rsidR="000B537B">
        <w:rPr>
          <w:rFonts w:ascii="Times New Roman" w:hAnsi="Times New Roman" w:cs="Times New Roman"/>
          <w:bCs/>
          <w:i/>
          <w:iCs/>
          <w:sz w:val="23"/>
          <w:szCs w:val="23"/>
        </w:rPr>
        <w:t xml:space="preserve">ont </w:t>
      </w:r>
      <w:r w:rsidR="00C86D58">
        <w:rPr>
          <w:rFonts w:ascii="Times New Roman" w:hAnsi="Times New Roman" w:cs="Times New Roman"/>
          <w:bCs/>
          <w:i/>
          <w:iCs/>
          <w:sz w:val="23"/>
          <w:szCs w:val="23"/>
        </w:rPr>
        <w:t xml:space="preserve">tous baissé respectivement de </w:t>
      </w:r>
      <w:r w:rsidR="000B537B">
        <w:rPr>
          <w:rFonts w:ascii="Times New Roman" w:hAnsi="Times New Roman" w:cs="Times New Roman"/>
          <w:bCs/>
          <w:i/>
          <w:iCs/>
          <w:sz w:val="23"/>
          <w:szCs w:val="23"/>
        </w:rPr>
        <w:t xml:space="preserve"> </w:t>
      </w:r>
      <w:r w:rsidR="00C86D58">
        <w:rPr>
          <w:rFonts w:ascii="Times New Roman" w:hAnsi="Times New Roman" w:cs="Times New Roman"/>
          <w:b/>
          <w:bCs/>
          <w:i/>
          <w:iCs/>
          <w:sz w:val="23"/>
          <w:szCs w:val="23"/>
        </w:rPr>
        <w:t>0,8</w:t>
      </w:r>
      <w:r w:rsidR="000B537B" w:rsidRPr="00262D3A">
        <w:rPr>
          <w:rFonts w:ascii="Times New Roman" w:hAnsi="Times New Roman" w:cs="Times New Roman"/>
          <w:b/>
          <w:bCs/>
          <w:i/>
          <w:iCs/>
          <w:sz w:val="23"/>
          <w:szCs w:val="23"/>
        </w:rPr>
        <w:t>%</w:t>
      </w:r>
      <w:r w:rsidR="000B537B">
        <w:rPr>
          <w:rFonts w:ascii="Times New Roman" w:hAnsi="Times New Roman" w:cs="Times New Roman"/>
          <w:bCs/>
          <w:i/>
          <w:iCs/>
          <w:sz w:val="23"/>
          <w:szCs w:val="23"/>
        </w:rPr>
        <w:t xml:space="preserve"> </w:t>
      </w:r>
      <w:r w:rsidR="00C86D58">
        <w:rPr>
          <w:rFonts w:ascii="Times New Roman" w:hAnsi="Times New Roman" w:cs="Times New Roman"/>
          <w:bCs/>
          <w:i/>
          <w:iCs/>
          <w:sz w:val="23"/>
          <w:szCs w:val="23"/>
        </w:rPr>
        <w:t xml:space="preserve">et de </w:t>
      </w:r>
      <w:r w:rsidR="00C86D58" w:rsidRPr="00C86D58">
        <w:rPr>
          <w:rFonts w:ascii="Times New Roman" w:hAnsi="Times New Roman" w:cs="Times New Roman"/>
          <w:b/>
          <w:bCs/>
          <w:i/>
          <w:iCs/>
          <w:sz w:val="23"/>
          <w:szCs w:val="23"/>
        </w:rPr>
        <w:t>3,2</w:t>
      </w:r>
      <w:r w:rsidRPr="00C86D58">
        <w:rPr>
          <w:rFonts w:ascii="Times New Roman" w:hAnsi="Times New Roman" w:cs="Times New Roman"/>
          <w:b/>
          <w:bCs/>
          <w:i/>
          <w:iCs/>
          <w:sz w:val="23"/>
          <w:szCs w:val="23"/>
        </w:rPr>
        <w:t xml:space="preserve">% </w:t>
      </w:r>
      <w:r w:rsidRPr="00262D3A">
        <w:rPr>
          <w:rFonts w:ascii="Times New Roman" w:hAnsi="Times New Roman" w:cs="Times New Roman"/>
          <w:bCs/>
          <w:i/>
          <w:iCs/>
          <w:sz w:val="23"/>
          <w:szCs w:val="23"/>
        </w:rPr>
        <w:t>;</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les prix des « produits importés » </w:t>
      </w:r>
      <w:r w:rsidR="00952CE5">
        <w:rPr>
          <w:rFonts w:ascii="Times New Roman" w:hAnsi="Times New Roman" w:cs="Times New Roman"/>
          <w:bCs/>
          <w:i/>
          <w:iCs/>
          <w:sz w:val="23"/>
          <w:szCs w:val="23"/>
        </w:rPr>
        <w:t>ont diminu</w:t>
      </w:r>
      <w:r w:rsidR="00576C53">
        <w:rPr>
          <w:rFonts w:ascii="Times New Roman" w:hAnsi="Times New Roman" w:cs="Times New Roman"/>
          <w:bCs/>
          <w:i/>
          <w:iCs/>
          <w:sz w:val="23"/>
          <w:szCs w:val="23"/>
        </w:rPr>
        <w:t xml:space="preserve">é de </w:t>
      </w:r>
      <w:r w:rsidR="00952CE5" w:rsidRPr="00F054B0">
        <w:rPr>
          <w:rFonts w:ascii="Times New Roman" w:hAnsi="Times New Roman" w:cs="Times New Roman"/>
          <w:b/>
          <w:bCs/>
          <w:i/>
          <w:iCs/>
          <w:sz w:val="23"/>
          <w:szCs w:val="23"/>
        </w:rPr>
        <w:t>0,5%</w:t>
      </w:r>
      <w:r w:rsidR="00952CE5">
        <w:rPr>
          <w:rFonts w:ascii="Times New Roman" w:hAnsi="Times New Roman" w:cs="Times New Roman"/>
          <w:bCs/>
          <w:i/>
          <w:iCs/>
          <w:sz w:val="23"/>
          <w:szCs w:val="23"/>
        </w:rPr>
        <w:t xml:space="preserve"> alors que ceux des « produits locaux » </w:t>
      </w:r>
      <w:r w:rsidR="00F054B0">
        <w:rPr>
          <w:rFonts w:ascii="Times New Roman" w:hAnsi="Times New Roman" w:cs="Times New Roman"/>
          <w:bCs/>
          <w:i/>
          <w:iCs/>
          <w:sz w:val="23"/>
          <w:szCs w:val="23"/>
        </w:rPr>
        <w:t xml:space="preserve">ont </w:t>
      </w:r>
      <w:r w:rsidRPr="00262D3A">
        <w:rPr>
          <w:rFonts w:ascii="Times New Roman" w:hAnsi="Times New Roman" w:cs="Times New Roman"/>
          <w:bCs/>
          <w:i/>
          <w:iCs/>
          <w:sz w:val="23"/>
          <w:szCs w:val="23"/>
        </w:rPr>
        <w:t xml:space="preserve">cru de </w:t>
      </w:r>
      <w:r w:rsidR="00952CE5">
        <w:rPr>
          <w:rFonts w:ascii="Times New Roman" w:hAnsi="Times New Roman" w:cs="Times New Roman"/>
          <w:b/>
          <w:bCs/>
          <w:i/>
          <w:iCs/>
          <w:sz w:val="23"/>
          <w:szCs w:val="23"/>
        </w:rPr>
        <w:t>2,0%</w:t>
      </w:r>
      <w:r w:rsidR="00952CE5" w:rsidRPr="00952CE5">
        <w:rPr>
          <w:rFonts w:ascii="Times New Roman" w:hAnsi="Times New Roman" w:cs="Times New Roman"/>
          <w:bCs/>
          <w:i/>
          <w:iCs/>
          <w:sz w:val="23"/>
          <w:szCs w:val="23"/>
        </w:rPr>
        <w:t>.</w:t>
      </w:r>
    </w:p>
    <w:p w:rsidR="003671B8" w:rsidRPr="00262D3A" w:rsidRDefault="003671B8" w:rsidP="003671B8">
      <w:pPr>
        <w:pStyle w:val="Titre5"/>
        <w:spacing w:before="120" w:line="312" w:lineRule="auto"/>
        <w:ind w:left="-142"/>
        <w:rPr>
          <w:rFonts w:ascii="Times New Roman" w:hAnsi="Times New Roman" w:cs="Times New Roman"/>
          <w:b/>
          <w:color w:val="auto"/>
        </w:rPr>
      </w:pPr>
      <w:r w:rsidRPr="00262D3A">
        <w:rPr>
          <w:rFonts w:ascii="Times New Roman" w:hAnsi="Times New Roman" w:cs="Times New Roman"/>
          <w:b/>
          <w:color w:val="auto"/>
          <w:sz w:val="23"/>
          <w:szCs w:val="23"/>
        </w:rPr>
        <w:t>Taux d’inflation suivant le critère de convergence dans l’espace UEMOA</w:t>
      </w:r>
      <w:r w:rsidRPr="00262D3A">
        <w:rPr>
          <w:rStyle w:val="Appelnotedebasdep"/>
          <w:rFonts w:ascii="Times New Roman" w:hAnsi="Times New Roman" w:cs="Times New Roman"/>
          <w:b/>
          <w:color w:val="auto"/>
          <w:sz w:val="23"/>
          <w:szCs w:val="23"/>
        </w:rPr>
        <w:footnoteReference w:id="2"/>
      </w:r>
    </w:p>
    <w:p w:rsidR="003671B8" w:rsidRPr="00280942" w:rsidRDefault="003671B8" w:rsidP="003671B8">
      <w:pPr>
        <w:spacing w:line="312" w:lineRule="auto"/>
        <w:ind w:left="-142"/>
        <w:jc w:val="both"/>
        <w:rPr>
          <w:rFonts w:ascii="Times New Roman" w:hAnsi="Times New Roman" w:cs="Times New Roman"/>
          <w:bCs/>
          <w:i/>
          <w:iCs/>
          <w:sz w:val="23"/>
          <w:szCs w:val="23"/>
        </w:rPr>
      </w:pPr>
      <w:r w:rsidRPr="00262D3A">
        <w:rPr>
          <w:rFonts w:ascii="Times New Roman" w:hAnsi="Times New Roman" w:cs="Times New Roman"/>
          <w:bCs/>
          <w:i/>
          <w:iCs/>
          <w:sz w:val="23"/>
          <w:szCs w:val="23"/>
        </w:rPr>
        <w:t>Le taux d’inflation au niveau nat</w:t>
      </w:r>
      <w:r w:rsidR="004542EC">
        <w:rPr>
          <w:rFonts w:ascii="Times New Roman" w:hAnsi="Times New Roman" w:cs="Times New Roman"/>
          <w:bCs/>
          <w:i/>
          <w:iCs/>
          <w:sz w:val="23"/>
          <w:szCs w:val="23"/>
        </w:rPr>
        <w:t xml:space="preserve">ional au titre du mois de </w:t>
      </w:r>
      <w:r w:rsidR="00211BED">
        <w:rPr>
          <w:rFonts w:ascii="Times New Roman" w:hAnsi="Times New Roman" w:cs="Times New Roman"/>
          <w:bCs/>
          <w:i/>
          <w:iCs/>
          <w:sz w:val="23"/>
          <w:szCs w:val="23"/>
        </w:rPr>
        <w:t>décembre</w:t>
      </w:r>
      <w:r w:rsidRPr="00262D3A">
        <w:rPr>
          <w:rFonts w:ascii="Times New Roman" w:hAnsi="Times New Roman" w:cs="Times New Roman"/>
          <w:bCs/>
          <w:i/>
          <w:iCs/>
          <w:sz w:val="23"/>
          <w:szCs w:val="23"/>
        </w:rPr>
        <w:t xml:space="preserve"> 2020, suivant la définition adoptée dans l’espace UEMOA, est </w:t>
      </w:r>
      <w:r w:rsidR="00280942">
        <w:rPr>
          <w:rFonts w:ascii="Times New Roman" w:hAnsi="Times New Roman" w:cs="Times New Roman"/>
          <w:bCs/>
          <w:i/>
          <w:iCs/>
          <w:sz w:val="23"/>
          <w:szCs w:val="23"/>
        </w:rPr>
        <w:t>ressorti</w:t>
      </w:r>
      <w:r w:rsidR="00334286">
        <w:rPr>
          <w:rFonts w:ascii="Times New Roman" w:hAnsi="Times New Roman" w:cs="Times New Roman"/>
          <w:bCs/>
          <w:i/>
          <w:iCs/>
          <w:sz w:val="23"/>
          <w:szCs w:val="23"/>
        </w:rPr>
        <w:t xml:space="preserve"> à</w:t>
      </w:r>
      <w:r w:rsidRPr="00262D3A">
        <w:rPr>
          <w:rFonts w:ascii="Times New Roman" w:hAnsi="Times New Roman" w:cs="Times New Roman"/>
          <w:bCs/>
          <w:i/>
          <w:iCs/>
          <w:sz w:val="23"/>
          <w:szCs w:val="23"/>
        </w:rPr>
        <w:t xml:space="preserve"> </w:t>
      </w:r>
      <w:r w:rsidR="00211BED">
        <w:rPr>
          <w:rFonts w:ascii="Times New Roman" w:hAnsi="Times New Roman" w:cs="Times New Roman"/>
          <w:b/>
          <w:bCs/>
          <w:i/>
          <w:iCs/>
          <w:sz w:val="23"/>
          <w:szCs w:val="23"/>
        </w:rPr>
        <w:t>+3,0</w:t>
      </w:r>
      <w:r w:rsidRPr="00262D3A">
        <w:rPr>
          <w:rFonts w:ascii="Times New Roman" w:hAnsi="Times New Roman" w:cs="Times New Roman"/>
          <w:b/>
          <w:bCs/>
          <w:i/>
          <w:iCs/>
          <w:sz w:val="23"/>
          <w:szCs w:val="23"/>
        </w:rPr>
        <w:t>%</w:t>
      </w:r>
      <w:r w:rsidR="00280942">
        <w:rPr>
          <w:rFonts w:ascii="Times New Roman" w:hAnsi="Times New Roman" w:cs="Times New Roman"/>
          <w:b/>
          <w:bCs/>
          <w:i/>
          <w:iCs/>
          <w:sz w:val="23"/>
          <w:szCs w:val="23"/>
        </w:rPr>
        <w:t xml:space="preserve"> </w:t>
      </w:r>
      <w:r w:rsidR="00280942" w:rsidRPr="00280942">
        <w:rPr>
          <w:rFonts w:ascii="Times New Roman" w:hAnsi="Times New Roman" w:cs="Times New Roman"/>
          <w:bCs/>
          <w:i/>
          <w:iCs/>
          <w:sz w:val="23"/>
          <w:szCs w:val="23"/>
        </w:rPr>
        <w:t>à l’instar de l’observation faite un mois plus tôt</w:t>
      </w:r>
      <w:r w:rsidR="00334286" w:rsidRPr="00280942">
        <w:rPr>
          <w:rFonts w:ascii="Times New Roman" w:hAnsi="Times New Roman" w:cs="Times New Roman"/>
          <w:bCs/>
          <w:i/>
          <w:iCs/>
          <w:sz w:val="23"/>
          <w:szCs w:val="23"/>
        </w:rPr>
        <w:t>.</w:t>
      </w:r>
    </w:p>
    <w:p w:rsidR="003671B8" w:rsidRPr="00262D3A" w:rsidRDefault="003671B8" w:rsidP="003671B8">
      <w:pPr>
        <w:pStyle w:val="Titre5"/>
        <w:spacing w:before="120"/>
        <w:rPr>
          <w:b/>
          <w:color w:val="auto"/>
        </w:rPr>
      </w:pPr>
      <w:r w:rsidRPr="00262D3A">
        <w:rPr>
          <w:rFonts w:ascii="Times New Roman" w:hAnsi="Times New Roman"/>
          <w:b/>
          <w:color w:val="auto"/>
          <w:sz w:val="24"/>
          <w:szCs w:val="24"/>
        </w:rPr>
        <w:t>Tableau 1: Indice Harmonisé des Prix à l</w:t>
      </w:r>
      <w:r w:rsidR="006972F4">
        <w:rPr>
          <w:rFonts w:ascii="Times New Roman" w:hAnsi="Times New Roman"/>
          <w:b/>
          <w:color w:val="auto"/>
          <w:sz w:val="24"/>
          <w:szCs w:val="24"/>
        </w:rPr>
        <w:t xml:space="preserve">a </w:t>
      </w:r>
      <w:r w:rsidR="00397D09">
        <w:rPr>
          <w:rFonts w:ascii="Times New Roman" w:hAnsi="Times New Roman"/>
          <w:b/>
          <w:color w:val="auto"/>
          <w:sz w:val="24"/>
          <w:szCs w:val="24"/>
        </w:rPr>
        <w:t>Consommation du mois de décembre</w:t>
      </w:r>
      <w:r w:rsidRPr="00262D3A">
        <w:rPr>
          <w:rFonts w:ascii="Times New Roman" w:hAnsi="Times New Roman"/>
          <w:b/>
          <w:color w:val="auto"/>
          <w:sz w:val="24"/>
          <w:szCs w:val="24"/>
        </w:rPr>
        <w:t xml:space="preserve"> 2020</w:t>
      </w:r>
    </w:p>
    <w:tbl>
      <w:tblPr>
        <w:tblW w:w="10515" w:type="dxa"/>
        <w:tblLayout w:type="fixed"/>
        <w:tblCellMar>
          <w:left w:w="70" w:type="dxa"/>
          <w:right w:w="70" w:type="dxa"/>
        </w:tblCellMar>
        <w:tblLook w:val="04A0"/>
      </w:tblPr>
      <w:tblGrid>
        <w:gridCol w:w="3567"/>
        <w:gridCol w:w="590"/>
        <w:gridCol w:w="760"/>
        <w:gridCol w:w="780"/>
        <w:gridCol w:w="824"/>
        <w:gridCol w:w="645"/>
        <w:gridCol w:w="161"/>
        <w:gridCol w:w="495"/>
        <w:gridCol w:w="229"/>
        <w:gridCol w:w="185"/>
        <w:gridCol w:w="436"/>
        <w:gridCol w:w="23"/>
        <w:gridCol w:w="644"/>
        <w:gridCol w:w="185"/>
        <w:gridCol w:w="968"/>
        <w:gridCol w:w="23"/>
      </w:tblGrid>
      <w:tr w:rsidR="003671B8" w:rsidRPr="0042781F" w:rsidTr="003671B8">
        <w:trPr>
          <w:gridAfter w:val="1"/>
          <w:wAfter w:w="23" w:type="dxa"/>
          <w:trHeight w:val="315"/>
        </w:trPr>
        <w:tc>
          <w:tcPr>
            <w:tcW w:w="3567" w:type="dxa"/>
            <w:tcBorders>
              <w:top w:val="double" w:sz="6" w:space="0" w:color="auto"/>
              <w:left w:val="nil"/>
              <w:bottom w:val="nil"/>
              <w:right w:val="nil"/>
            </w:tcBorders>
            <w:shd w:val="clear" w:color="000000" w:fill="00FFFF"/>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val="restart"/>
            <w:tcBorders>
              <w:top w:val="double" w:sz="6" w:space="0" w:color="auto"/>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Poids</w:t>
            </w:r>
          </w:p>
        </w:tc>
        <w:tc>
          <w:tcPr>
            <w:tcW w:w="4079" w:type="dxa"/>
            <w:gridSpan w:val="8"/>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Indice des mois de :</w:t>
            </w:r>
          </w:p>
        </w:tc>
        <w:tc>
          <w:tcPr>
            <w:tcW w:w="2256" w:type="dxa"/>
            <w:gridSpan w:val="5"/>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Variation depuis :</w:t>
            </w:r>
          </w:p>
        </w:tc>
      </w:tr>
      <w:tr w:rsidR="003671B8" w:rsidRPr="0042781F" w:rsidTr="003671B8">
        <w:trPr>
          <w:trHeight w:val="300"/>
        </w:trPr>
        <w:tc>
          <w:tcPr>
            <w:tcW w:w="3567" w:type="dxa"/>
            <w:vMerge w:val="restart"/>
            <w:tcBorders>
              <w:top w:val="nil"/>
              <w:left w:val="nil"/>
              <w:bottom w:val="nil"/>
              <w:right w:val="nil"/>
            </w:tcBorders>
            <w:shd w:val="clear" w:color="000000" w:fill="00FFFF"/>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val="restart"/>
            <w:tcBorders>
              <w:top w:val="nil"/>
              <w:left w:val="nil"/>
              <w:bottom w:val="nil"/>
              <w:right w:val="nil"/>
            </w:tcBorders>
            <w:shd w:val="clear" w:color="000000" w:fill="00FFFF"/>
            <w:vAlign w:val="bottom"/>
            <w:hideMark/>
          </w:tcPr>
          <w:p w:rsidR="003671B8" w:rsidRPr="0042781F" w:rsidRDefault="002C4BBA"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007B2C2C">
              <w:rPr>
                <w:rFonts w:ascii="Times New Roman" w:hAnsi="Times New Roman" w:cs="Times New Roman"/>
                <w:b/>
                <w:bCs/>
                <w:sz w:val="18"/>
                <w:szCs w:val="18"/>
              </w:rPr>
              <w:t>.</w:t>
            </w:r>
            <w:r w:rsidR="003671B8" w:rsidRPr="0042781F">
              <w:rPr>
                <w:rFonts w:ascii="Times New Roman" w:hAnsi="Times New Roman" w:cs="Times New Roman"/>
                <w:b/>
                <w:bCs/>
                <w:sz w:val="18"/>
                <w:szCs w:val="18"/>
              </w:rPr>
              <w:t>-19</w:t>
            </w:r>
          </w:p>
        </w:tc>
        <w:tc>
          <w:tcPr>
            <w:tcW w:w="780"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24"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06" w:type="dxa"/>
            <w:gridSpan w:val="2"/>
            <w:vMerge w:val="restart"/>
            <w:tcBorders>
              <w:top w:val="nil"/>
              <w:left w:val="nil"/>
              <w:bottom w:val="nil"/>
              <w:right w:val="nil"/>
            </w:tcBorders>
            <w:shd w:val="clear" w:color="000000" w:fill="00FFFF"/>
            <w:vAlign w:val="bottom"/>
            <w:hideMark/>
          </w:tcPr>
          <w:p w:rsidR="003671B8" w:rsidRPr="0042781F" w:rsidRDefault="005121E1" w:rsidP="003671B8">
            <w:pPr>
              <w:jc w:val="center"/>
              <w:rPr>
                <w:rFonts w:ascii="Times New Roman" w:hAnsi="Times New Roman" w:cs="Times New Roman"/>
                <w:b/>
                <w:bCs/>
                <w:sz w:val="18"/>
                <w:szCs w:val="18"/>
              </w:rPr>
            </w:pPr>
            <w:r>
              <w:rPr>
                <w:rFonts w:ascii="Times New Roman" w:hAnsi="Times New Roman" w:cs="Times New Roman"/>
                <w:b/>
                <w:bCs/>
                <w:sz w:val="18"/>
                <w:szCs w:val="18"/>
              </w:rPr>
              <w:t>nov.</w:t>
            </w:r>
            <w:r w:rsidRPr="0042781F">
              <w:rPr>
                <w:rFonts w:ascii="Times New Roman" w:hAnsi="Times New Roman" w:cs="Times New Roman"/>
                <w:b/>
                <w:bCs/>
                <w:sz w:val="18"/>
                <w:szCs w:val="18"/>
              </w:rPr>
              <w:t>-20</w:t>
            </w:r>
          </w:p>
        </w:tc>
        <w:tc>
          <w:tcPr>
            <w:tcW w:w="724" w:type="dxa"/>
            <w:gridSpan w:val="2"/>
            <w:vMerge w:val="restart"/>
            <w:tcBorders>
              <w:top w:val="nil"/>
              <w:left w:val="nil"/>
              <w:bottom w:val="nil"/>
              <w:right w:val="nil"/>
            </w:tcBorders>
            <w:shd w:val="clear" w:color="000000" w:fill="00FFFF"/>
            <w:vAlign w:val="bottom"/>
            <w:hideMark/>
          </w:tcPr>
          <w:p w:rsidR="003671B8" w:rsidRPr="0042781F" w:rsidRDefault="005121E1"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007B2C2C">
              <w:rPr>
                <w:rFonts w:ascii="Times New Roman" w:hAnsi="Times New Roman" w:cs="Times New Roman"/>
                <w:b/>
                <w:bCs/>
                <w:sz w:val="18"/>
                <w:szCs w:val="18"/>
              </w:rPr>
              <w:t>.</w:t>
            </w:r>
            <w:r w:rsidR="007B2C2C" w:rsidRPr="0042781F">
              <w:rPr>
                <w:rFonts w:ascii="Times New Roman" w:hAnsi="Times New Roman" w:cs="Times New Roman"/>
                <w:b/>
                <w:bCs/>
                <w:sz w:val="18"/>
                <w:szCs w:val="18"/>
              </w:rPr>
              <w:t>-</w:t>
            </w:r>
            <w:r w:rsidR="003671B8" w:rsidRPr="0042781F">
              <w:rPr>
                <w:rFonts w:ascii="Times New Roman" w:hAnsi="Times New Roman" w:cs="Times New Roman"/>
                <w:b/>
                <w:bCs/>
                <w:sz w:val="18"/>
                <w:szCs w:val="18"/>
              </w:rPr>
              <w:t>20</w:t>
            </w:r>
          </w:p>
        </w:tc>
        <w:tc>
          <w:tcPr>
            <w:tcW w:w="644"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 mois</w:t>
            </w:r>
          </w:p>
        </w:tc>
        <w:tc>
          <w:tcPr>
            <w:tcW w:w="644" w:type="dxa"/>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3 mois</w:t>
            </w:r>
          </w:p>
        </w:tc>
        <w:tc>
          <w:tcPr>
            <w:tcW w:w="1176"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12 mois</w:t>
            </w:r>
          </w:p>
        </w:tc>
      </w:tr>
      <w:tr w:rsidR="003671B8" w:rsidRPr="0042781F" w:rsidTr="003671B8">
        <w:trPr>
          <w:trHeight w:val="300"/>
        </w:trPr>
        <w:tc>
          <w:tcPr>
            <w:tcW w:w="3567"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sz w:val="18"/>
                <w:szCs w:val="18"/>
              </w:rPr>
            </w:pP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80" w:type="dxa"/>
            <w:tcBorders>
              <w:top w:val="nil"/>
              <w:left w:val="nil"/>
              <w:bottom w:val="nil"/>
              <w:right w:val="nil"/>
            </w:tcBorders>
            <w:shd w:val="clear" w:color="000000" w:fill="00FFFF"/>
            <w:vAlign w:val="bottom"/>
            <w:hideMark/>
          </w:tcPr>
          <w:p w:rsidR="003671B8" w:rsidRPr="0042781F" w:rsidRDefault="005121E1" w:rsidP="003671B8">
            <w:pPr>
              <w:jc w:val="center"/>
              <w:rPr>
                <w:rFonts w:ascii="Times New Roman" w:hAnsi="Times New Roman" w:cs="Times New Roman"/>
                <w:b/>
                <w:bCs/>
                <w:sz w:val="18"/>
                <w:szCs w:val="18"/>
              </w:rPr>
            </w:pPr>
            <w:r>
              <w:rPr>
                <w:rFonts w:ascii="Times New Roman" w:hAnsi="Times New Roman" w:cs="Times New Roman"/>
                <w:b/>
                <w:bCs/>
                <w:sz w:val="18"/>
                <w:szCs w:val="18"/>
              </w:rPr>
              <w:t>sept</w:t>
            </w:r>
            <w:r w:rsidRPr="0042781F">
              <w:rPr>
                <w:rFonts w:ascii="Times New Roman" w:hAnsi="Times New Roman" w:cs="Times New Roman"/>
                <w:b/>
                <w:bCs/>
                <w:sz w:val="18"/>
                <w:szCs w:val="18"/>
              </w:rPr>
              <w:t>-20</w:t>
            </w:r>
          </w:p>
        </w:tc>
        <w:tc>
          <w:tcPr>
            <w:tcW w:w="824" w:type="dxa"/>
            <w:tcBorders>
              <w:top w:val="nil"/>
              <w:left w:val="nil"/>
              <w:bottom w:val="nil"/>
              <w:right w:val="nil"/>
            </w:tcBorders>
            <w:shd w:val="clear" w:color="000000" w:fill="00FFFF"/>
            <w:vAlign w:val="bottom"/>
            <w:hideMark/>
          </w:tcPr>
          <w:p w:rsidR="003671B8" w:rsidRPr="0042781F" w:rsidRDefault="005121E1" w:rsidP="003671B8">
            <w:pPr>
              <w:jc w:val="center"/>
              <w:rPr>
                <w:rFonts w:ascii="Times New Roman" w:hAnsi="Times New Roman" w:cs="Times New Roman"/>
                <w:b/>
                <w:bCs/>
                <w:sz w:val="18"/>
                <w:szCs w:val="18"/>
              </w:rPr>
            </w:pPr>
            <w:r>
              <w:rPr>
                <w:rFonts w:ascii="Times New Roman" w:hAnsi="Times New Roman" w:cs="Times New Roman"/>
                <w:b/>
                <w:bCs/>
                <w:sz w:val="18"/>
                <w:szCs w:val="18"/>
              </w:rPr>
              <w:t>oct.</w:t>
            </w:r>
            <w:r w:rsidRPr="0042781F">
              <w:rPr>
                <w:rFonts w:ascii="Times New Roman" w:hAnsi="Times New Roman" w:cs="Times New Roman"/>
                <w:b/>
                <w:bCs/>
                <w:sz w:val="18"/>
                <w:szCs w:val="18"/>
              </w:rPr>
              <w:t>-20</w:t>
            </w:r>
          </w:p>
        </w:tc>
        <w:tc>
          <w:tcPr>
            <w:tcW w:w="806"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24"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1176"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r>
      <w:tr w:rsidR="00E2297F" w:rsidRPr="0042781F" w:rsidTr="003671B8">
        <w:trPr>
          <w:gridAfter w:val="1"/>
          <w:wAfter w:w="23" w:type="dxa"/>
          <w:trHeight w:val="495"/>
        </w:trPr>
        <w:tc>
          <w:tcPr>
            <w:tcW w:w="3567" w:type="dxa"/>
            <w:tcBorders>
              <w:top w:val="nil"/>
              <w:left w:val="nil"/>
              <w:bottom w:val="nil"/>
              <w:right w:val="nil"/>
            </w:tcBorders>
            <w:shd w:val="clear" w:color="auto" w:fill="auto"/>
            <w:vAlign w:val="bottom"/>
            <w:hideMark/>
          </w:tcPr>
          <w:p w:rsidR="00E2297F" w:rsidRPr="0042781F" w:rsidRDefault="00E2297F" w:rsidP="003671B8">
            <w:pPr>
              <w:rPr>
                <w:rFonts w:ascii="Times New Roman" w:hAnsi="Times New Roman" w:cs="Times New Roman"/>
                <w:b/>
                <w:bCs/>
                <w:sz w:val="18"/>
                <w:szCs w:val="18"/>
              </w:rPr>
            </w:pPr>
            <w:r w:rsidRPr="0042781F">
              <w:rPr>
                <w:rFonts w:ascii="Times New Roman" w:hAnsi="Times New Roman" w:cs="Times New Roman"/>
                <w:b/>
                <w:bCs/>
                <w:sz w:val="18"/>
                <w:szCs w:val="18"/>
              </w:rPr>
              <w:t>INDICE GLOBAL</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10000</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101,5</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104,5</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104,9</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104,4</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102,6</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-1,7%</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-1,8%</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1,1%</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1. Produits alimentaires et boissons non alcoolisées</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3751</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97,0</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102,3</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104,1</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102,9</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101,2</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-1,7%</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-1,1%</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4,3%</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2. Boissons alcoolisées,  Tabac et stupéfiants</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104,7</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106,6</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105,9</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106,9</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106,4</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-0,5%</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-0,2%</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1,6%</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3. Articles d'habillement et chaussures</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509</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104,7</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107,6</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108,2</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108,2</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108,7</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0,5%</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3,8%</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4. Logement, eau, gaz, électricité et autres combustibles</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1087</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103,8</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105,4</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101,9</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100,7</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97,6</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-3,1%</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-7,4%</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-6,0%</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 xml:space="preserve">5. Meubles, articles de ménage et entretien courant </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222</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106,6</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107,2</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107,0</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106,7</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106,8</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0,1%</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-0,4%</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0,2%</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6. Santé</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456</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101,1</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102,2</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102,3</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102,2</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102,3</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0,1%</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0,1%</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1,2%</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7. Transports</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1102</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110,5</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111,9</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111,9</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111,5</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107,6</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-3,5%</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-3,8%</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-2,6%</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8. Communication</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442</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99,7</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99,7</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99,7</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99,7</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99,7</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0,0%</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0,0%</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0,0%</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9. Loisirs et culture</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162</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101,1</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102,0</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102,1</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102,1</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102,1</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0,0%</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0,1%</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10. Enseignement</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564</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102,9</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102,8</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103,0</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103,0</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102,9</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-0,1%</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0,1%</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0,0%</w:t>
            </w:r>
          </w:p>
        </w:tc>
      </w:tr>
      <w:tr w:rsidR="00E2297F"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11. Restaurants et Hôtels</w:t>
            </w:r>
          </w:p>
        </w:tc>
        <w:tc>
          <w:tcPr>
            <w:tcW w:w="590" w:type="dxa"/>
            <w:tcBorders>
              <w:top w:val="nil"/>
              <w:left w:val="nil"/>
              <w:bottom w:val="nil"/>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1156</w:t>
            </w:r>
          </w:p>
        </w:tc>
        <w:tc>
          <w:tcPr>
            <w:tcW w:w="76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101,6</w:t>
            </w:r>
          </w:p>
        </w:tc>
        <w:tc>
          <w:tcPr>
            <w:tcW w:w="780"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104,5</w:t>
            </w:r>
          </w:p>
        </w:tc>
        <w:tc>
          <w:tcPr>
            <w:tcW w:w="824"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105,0</w:t>
            </w:r>
          </w:p>
        </w:tc>
        <w:tc>
          <w:tcPr>
            <w:tcW w:w="645" w:type="dxa"/>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105,0</w:t>
            </w:r>
          </w:p>
        </w:tc>
        <w:tc>
          <w:tcPr>
            <w:tcW w:w="656" w:type="dxa"/>
            <w:gridSpan w:val="2"/>
            <w:tcBorders>
              <w:top w:val="nil"/>
              <w:left w:val="nil"/>
              <w:bottom w:val="nil"/>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102,8</w:t>
            </w:r>
          </w:p>
        </w:tc>
        <w:tc>
          <w:tcPr>
            <w:tcW w:w="850" w:type="dxa"/>
            <w:gridSpan w:val="3"/>
            <w:tcBorders>
              <w:top w:val="nil"/>
              <w:left w:val="nil"/>
              <w:bottom w:val="nil"/>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-2,1%</w:t>
            </w:r>
          </w:p>
        </w:tc>
        <w:tc>
          <w:tcPr>
            <w:tcW w:w="852" w:type="dxa"/>
            <w:gridSpan w:val="3"/>
            <w:tcBorders>
              <w:top w:val="nil"/>
              <w:left w:val="nil"/>
              <w:bottom w:val="nil"/>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-1,6%</w:t>
            </w:r>
          </w:p>
        </w:tc>
        <w:tc>
          <w:tcPr>
            <w:tcW w:w="968" w:type="dxa"/>
            <w:tcBorders>
              <w:top w:val="nil"/>
              <w:left w:val="nil"/>
              <w:bottom w:val="nil"/>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1,2%</w:t>
            </w:r>
          </w:p>
        </w:tc>
      </w:tr>
      <w:tr w:rsidR="00E2297F" w:rsidRPr="0042781F" w:rsidTr="003671B8">
        <w:trPr>
          <w:gridAfter w:val="1"/>
          <w:wAfter w:w="23" w:type="dxa"/>
          <w:trHeight w:val="315"/>
        </w:trPr>
        <w:tc>
          <w:tcPr>
            <w:tcW w:w="3567" w:type="dxa"/>
            <w:tcBorders>
              <w:top w:val="nil"/>
              <w:left w:val="nil"/>
              <w:bottom w:val="double" w:sz="6" w:space="0" w:color="auto"/>
              <w:right w:val="nil"/>
            </w:tcBorders>
            <w:shd w:val="clear" w:color="auto" w:fill="auto"/>
            <w:noWrap/>
            <w:vAlign w:val="bottom"/>
            <w:hideMark/>
          </w:tcPr>
          <w:p w:rsidR="00E2297F" w:rsidRPr="0042781F" w:rsidRDefault="00E2297F" w:rsidP="003671B8">
            <w:pPr>
              <w:rPr>
                <w:rFonts w:ascii="Times New Roman" w:hAnsi="Times New Roman" w:cs="Times New Roman"/>
                <w:sz w:val="18"/>
                <w:szCs w:val="18"/>
              </w:rPr>
            </w:pPr>
            <w:r w:rsidRPr="0042781F">
              <w:rPr>
                <w:rFonts w:ascii="Times New Roman" w:hAnsi="Times New Roman" w:cs="Times New Roman"/>
                <w:sz w:val="18"/>
                <w:szCs w:val="18"/>
              </w:rPr>
              <w:t>12. Biens et services divers</w:t>
            </w:r>
          </w:p>
        </w:tc>
        <w:tc>
          <w:tcPr>
            <w:tcW w:w="590" w:type="dxa"/>
            <w:tcBorders>
              <w:top w:val="nil"/>
              <w:left w:val="nil"/>
              <w:bottom w:val="double" w:sz="6" w:space="0" w:color="auto"/>
              <w:right w:val="nil"/>
            </w:tcBorders>
            <w:shd w:val="clear" w:color="auto" w:fill="auto"/>
            <w:vAlign w:val="bottom"/>
            <w:hideMark/>
          </w:tcPr>
          <w:p w:rsidR="00E2297F" w:rsidRPr="0042781F" w:rsidRDefault="00E2297F"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493</w:t>
            </w:r>
          </w:p>
        </w:tc>
        <w:tc>
          <w:tcPr>
            <w:tcW w:w="760" w:type="dxa"/>
            <w:tcBorders>
              <w:top w:val="nil"/>
              <w:left w:val="nil"/>
              <w:bottom w:val="double" w:sz="6" w:space="0" w:color="auto"/>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106,0</w:t>
            </w:r>
          </w:p>
        </w:tc>
        <w:tc>
          <w:tcPr>
            <w:tcW w:w="780" w:type="dxa"/>
            <w:tcBorders>
              <w:top w:val="nil"/>
              <w:left w:val="nil"/>
              <w:bottom w:val="double" w:sz="6" w:space="0" w:color="auto"/>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106,9</w:t>
            </w:r>
          </w:p>
        </w:tc>
        <w:tc>
          <w:tcPr>
            <w:tcW w:w="824" w:type="dxa"/>
            <w:tcBorders>
              <w:top w:val="nil"/>
              <w:left w:val="nil"/>
              <w:bottom w:val="double" w:sz="6" w:space="0" w:color="auto"/>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108,1</w:t>
            </w:r>
          </w:p>
        </w:tc>
        <w:tc>
          <w:tcPr>
            <w:tcW w:w="645" w:type="dxa"/>
            <w:tcBorders>
              <w:top w:val="nil"/>
              <w:left w:val="nil"/>
              <w:bottom w:val="double" w:sz="6" w:space="0" w:color="auto"/>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110,7</w:t>
            </w:r>
          </w:p>
        </w:tc>
        <w:tc>
          <w:tcPr>
            <w:tcW w:w="656" w:type="dxa"/>
            <w:gridSpan w:val="2"/>
            <w:tcBorders>
              <w:top w:val="nil"/>
              <w:left w:val="nil"/>
              <w:bottom w:val="double" w:sz="6" w:space="0" w:color="auto"/>
              <w:right w:val="nil"/>
            </w:tcBorders>
            <w:shd w:val="clear" w:color="auto" w:fill="auto"/>
            <w:noWrap/>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107,5</w:t>
            </w:r>
          </w:p>
        </w:tc>
        <w:tc>
          <w:tcPr>
            <w:tcW w:w="850" w:type="dxa"/>
            <w:gridSpan w:val="3"/>
            <w:tcBorders>
              <w:top w:val="nil"/>
              <w:left w:val="nil"/>
              <w:bottom w:val="double" w:sz="6" w:space="0" w:color="auto"/>
              <w:right w:val="nil"/>
            </w:tcBorders>
            <w:shd w:val="clear" w:color="000000" w:fill="CCFFCC"/>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-2,9%</w:t>
            </w:r>
          </w:p>
        </w:tc>
        <w:tc>
          <w:tcPr>
            <w:tcW w:w="852" w:type="dxa"/>
            <w:gridSpan w:val="3"/>
            <w:tcBorders>
              <w:top w:val="nil"/>
              <w:left w:val="nil"/>
              <w:bottom w:val="double" w:sz="6" w:space="0" w:color="auto"/>
              <w:right w:val="nil"/>
            </w:tcBorders>
            <w:shd w:val="clear" w:color="000000" w:fill="99CC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0,6%</w:t>
            </w:r>
          </w:p>
        </w:tc>
        <w:tc>
          <w:tcPr>
            <w:tcW w:w="968" w:type="dxa"/>
            <w:tcBorders>
              <w:top w:val="nil"/>
              <w:left w:val="nil"/>
              <w:bottom w:val="double" w:sz="6" w:space="0" w:color="auto"/>
              <w:right w:val="nil"/>
            </w:tcBorders>
            <w:shd w:val="clear" w:color="000000" w:fill="CC99FF"/>
            <w:vAlign w:val="bottom"/>
            <w:hideMark/>
          </w:tcPr>
          <w:p w:rsidR="00E2297F" w:rsidRPr="00E2297F" w:rsidRDefault="00E2297F" w:rsidP="00E2297F">
            <w:pPr>
              <w:jc w:val="center"/>
              <w:rPr>
                <w:rFonts w:ascii="Times New Roman" w:hAnsi="Times New Roman" w:cs="Times New Roman"/>
                <w:sz w:val="18"/>
                <w:szCs w:val="18"/>
              </w:rPr>
            </w:pPr>
            <w:r w:rsidRPr="00E2297F">
              <w:rPr>
                <w:rFonts w:ascii="Times New Roman" w:hAnsi="Times New Roman" w:cs="Times New Roman"/>
                <w:sz w:val="18"/>
                <w:szCs w:val="18"/>
              </w:rPr>
              <w:t>1,4%</w:t>
            </w:r>
          </w:p>
        </w:tc>
      </w:tr>
    </w:tbl>
    <w:p w:rsidR="003671B8" w:rsidRPr="0042781F" w:rsidRDefault="003671B8" w:rsidP="003671B8">
      <w:pPr>
        <w:pStyle w:val="Titre4"/>
        <w:spacing w:before="0"/>
        <w:ind w:left="-284" w:firstLine="284"/>
        <w:rPr>
          <w:rFonts w:ascii="Times New Roman" w:hAnsi="Times New Roman"/>
          <w:b w:val="0"/>
          <w:color w:val="auto"/>
          <w:sz w:val="16"/>
          <w:szCs w:val="16"/>
        </w:rPr>
      </w:pPr>
      <w:r w:rsidRPr="0042781F">
        <w:rPr>
          <w:rFonts w:ascii="Times New Roman" w:hAnsi="Times New Roman"/>
          <w:b w:val="0"/>
          <w:color w:val="auto"/>
          <w:sz w:val="16"/>
          <w:szCs w:val="16"/>
          <w:u w:val="single"/>
        </w:rPr>
        <w:t>Source</w:t>
      </w:r>
      <w:r w:rsidRPr="0042781F">
        <w:rPr>
          <w:rFonts w:ascii="Times New Roman" w:hAnsi="Times New Roman"/>
          <w:b w:val="0"/>
          <w:color w:val="auto"/>
          <w:sz w:val="16"/>
          <w:szCs w:val="16"/>
        </w:rPr>
        <w:t xml:space="preserve"> : </w:t>
      </w:r>
      <w:r w:rsidRPr="0042781F">
        <w:rPr>
          <w:rFonts w:ascii="Times New Roman" w:hAnsi="Times New Roman"/>
          <w:b w:val="0"/>
          <w:bCs w:val="0"/>
          <w:color w:val="auto"/>
          <w:sz w:val="16"/>
          <w:szCs w:val="16"/>
        </w:rPr>
        <w:t>DSS/INSAE</w:t>
      </w:r>
      <w:r w:rsidR="00397D09">
        <w:rPr>
          <w:rFonts w:ascii="Times New Roman" w:hAnsi="Times New Roman"/>
          <w:b w:val="0"/>
          <w:color w:val="auto"/>
          <w:sz w:val="16"/>
          <w:szCs w:val="16"/>
        </w:rPr>
        <w:t>, décembre</w:t>
      </w:r>
      <w:r w:rsidRPr="0042781F">
        <w:rPr>
          <w:rFonts w:ascii="Times New Roman" w:hAnsi="Times New Roman"/>
          <w:b w:val="0"/>
          <w:color w:val="auto"/>
          <w:sz w:val="16"/>
          <w:szCs w:val="16"/>
        </w:rPr>
        <w:t xml:space="preserve">  2020</w:t>
      </w:r>
    </w:p>
    <w:p w:rsidR="003671B8" w:rsidRPr="0042781F" w:rsidRDefault="003671B8" w:rsidP="003671B8">
      <w:pPr>
        <w:pStyle w:val="Titre4"/>
        <w:spacing w:before="60"/>
        <w:rPr>
          <w:rFonts w:ascii="Times New Roman" w:hAnsi="Times New Roman"/>
          <w:color w:val="auto"/>
          <w:sz w:val="16"/>
          <w:szCs w:val="16"/>
        </w:rPr>
      </w:pPr>
      <w:r w:rsidRPr="0042781F">
        <w:rPr>
          <w:rFonts w:ascii="Times New Roman" w:hAnsi="Times New Roman"/>
          <w:color w:val="auto"/>
          <w:sz w:val="16"/>
          <w:szCs w:val="16"/>
        </w:rPr>
        <w:t>Base 100 : année 2014</w:t>
      </w:r>
    </w:p>
    <w:p w:rsidR="003671B8" w:rsidRPr="0042781F" w:rsidRDefault="003671B8" w:rsidP="003671B8">
      <w:pPr>
        <w:pStyle w:val="Titre5"/>
        <w:spacing w:before="120"/>
        <w:rPr>
          <w:b/>
          <w:color w:val="auto"/>
          <w:sz w:val="23"/>
          <w:szCs w:val="23"/>
        </w:rPr>
      </w:pPr>
      <w:r w:rsidRPr="0042781F">
        <w:rPr>
          <w:rFonts w:ascii="Times New Roman" w:hAnsi="Times New Roman"/>
          <w:b/>
          <w:color w:val="auto"/>
          <w:sz w:val="23"/>
          <w:szCs w:val="23"/>
        </w:rPr>
        <w:t>Tableau 2: Evolution du taux d’inflation</w:t>
      </w:r>
    </w:p>
    <w:tbl>
      <w:tblPr>
        <w:tblW w:w="10386" w:type="dxa"/>
        <w:tblInd w:w="70" w:type="dxa"/>
        <w:tblBorders>
          <w:top w:val="double" w:sz="6" w:space="0" w:color="auto"/>
          <w:bottom w:val="double" w:sz="6" w:space="0" w:color="auto"/>
          <w:insideH w:val="single" w:sz="4" w:space="0" w:color="auto"/>
        </w:tblBorders>
        <w:tblCellMar>
          <w:left w:w="70" w:type="dxa"/>
          <w:right w:w="70" w:type="dxa"/>
        </w:tblCellMar>
        <w:tblLook w:val="04A0"/>
      </w:tblPr>
      <w:tblGrid>
        <w:gridCol w:w="1241"/>
        <w:gridCol w:w="751"/>
        <w:gridCol w:w="751"/>
        <w:gridCol w:w="751"/>
        <w:gridCol w:w="747"/>
        <w:gridCol w:w="699"/>
        <w:gridCol w:w="699"/>
        <w:gridCol w:w="699"/>
        <w:gridCol w:w="699"/>
        <w:gridCol w:w="699"/>
        <w:gridCol w:w="699"/>
        <w:gridCol w:w="699"/>
        <w:gridCol w:w="626"/>
        <w:gridCol w:w="626"/>
      </w:tblGrid>
      <w:tr w:rsidR="00873ED6" w:rsidRPr="0042781F" w:rsidTr="00E2297F">
        <w:trPr>
          <w:trHeight w:val="75"/>
        </w:trPr>
        <w:tc>
          <w:tcPr>
            <w:tcW w:w="1241" w:type="dxa"/>
            <w:shd w:val="clear" w:color="auto" w:fill="auto"/>
            <w:noWrap/>
            <w:vAlign w:val="bottom"/>
            <w:hideMark/>
          </w:tcPr>
          <w:p w:rsidR="00873ED6" w:rsidRPr="0042781F" w:rsidRDefault="00873ED6"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 xml:space="preserve"> Libellé</w:t>
            </w:r>
          </w:p>
        </w:tc>
        <w:tc>
          <w:tcPr>
            <w:tcW w:w="751" w:type="dxa"/>
            <w:vAlign w:val="bottom"/>
          </w:tcPr>
          <w:p w:rsidR="00873ED6" w:rsidRPr="0042781F" w:rsidRDefault="005121E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déc.</w:t>
            </w:r>
            <w:r w:rsidR="00873ED6" w:rsidRPr="0042781F">
              <w:rPr>
                <w:rFonts w:ascii="Times New Roman" w:hAnsi="Times New Roman" w:cs="Times New Roman"/>
                <w:color w:val="000000"/>
                <w:sz w:val="16"/>
                <w:szCs w:val="16"/>
              </w:rPr>
              <w:t>-19</w:t>
            </w:r>
          </w:p>
        </w:tc>
        <w:tc>
          <w:tcPr>
            <w:tcW w:w="751" w:type="dxa"/>
            <w:vAlign w:val="bottom"/>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jan-20</w:t>
            </w:r>
          </w:p>
        </w:tc>
        <w:tc>
          <w:tcPr>
            <w:tcW w:w="751" w:type="dxa"/>
            <w:vAlign w:val="bottom"/>
          </w:tcPr>
          <w:p w:rsidR="00873ED6" w:rsidRPr="0042781F" w:rsidRDefault="005121E1"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fév.</w:t>
            </w:r>
            <w:r w:rsidR="00873ED6" w:rsidRPr="0042781F">
              <w:rPr>
                <w:rFonts w:ascii="Times New Roman" w:hAnsi="Times New Roman" w:cs="Times New Roman"/>
                <w:color w:val="000000"/>
                <w:sz w:val="16"/>
                <w:szCs w:val="16"/>
              </w:rPr>
              <w:t>-20</w:t>
            </w:r>
          </w:p>
        </w:tc>
        <w:tc>
          <w:tcPr>
            <w:tcW w:w="747" w:type="dxa"/>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mars-20</w:t>
            </w:r>
          </w:p>
        </w:tc>
        <w:tc>
          <w:tcPr>
            <w:tcW w:w="699" w:type="dxa"/>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avril-20</w:t>
            </w:r>
          </w:p>
        </w:tc>
        <w:tc>
          <w:tcPr>
            <w:tcW w:w="699" w:type="dxa"/>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mai-20</w:t>
            </w:r>
          </w:p>
        </w:tc>
        <w:tc>
          <w:tcPr>
            <w:tcW w:w="699" w:type="dxa"/>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juin-20</w:t>
            </w:r>
          </w:p>
        </w:tc>
        <w:tc>
          <w:tcPr>
            <w:tcW w:w="699" w:type="dxa"/>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juil.-20</w:t>
            </w:r>
          </w:p>
        </w:tc>
        <w:tc>
          <w:tcPr>
            <w:tcW w:w="699" w:type="dxa"/>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août-20</w:t>
            </w:r>
          </w:p>
        </w:tc>
        <w:tc>
          <w:tcPr>
            <w:tcW w:w="699" w:type="dxa"/>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sept-20</w:t>
            </w:r>
          </w:p>
        </w:tc>
        <w:tc>
          <w:tcPr>
            <w:tcW w:w="699" w:type="dxa"/>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oct.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26" w:type="dxa"/>
          </w:tcPr>
          <w:p w:rsidR="00873ED6" w:rsidRPr="0042781F" w:rsidRDefault="00873ED6"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nov.20</w:t>
            </w:r>
          </w:p>
        </w:tc>
        <w:tc>
          <w:tcPr>
            <w:tcW w:w="626" w:type="dxa"/>
          </w:tcPr>
          <w:p w:rsidR="00873ED6" w:rsidRDefault="005121E1"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déc.</w:t>
            </w:r>
            <w:r w:rsidR="00873ED6">
              <w:rPr>
                <w:rFonts w:ascii="Times New Roman" w:hAnsi="Times New Roman" w:cs="Times New Roman"/>
                <w:color w:val="000000"/>
                <w:sz w:val="16"/>
                <w:szCs w:val="16"/>
              </w:rPr>
              <w:t>-20</w:t>
            </w:r>
          </w:p>
        </w:tc>
      </w:tr>
      <w:tr w:rsidR="00873ED6" w:rsidRPr="0042781F" w:rsidTr="00E2297F">
        <w:trPr>
          <w:trHeight w:val="205"/>
        </w:trPr>
        <w:tc>
          <w:tcPr>
            <w:tcW w:w="1241" w:type="dxa"/>
            <w:shd w:val="clear" w:color="auto" w:fill="auto"/>
            <w:noWrap/>
            <w:vAlign w:val="bottom"/>
            <w:hideMark/>
          </w:tcPr>
          <w:p w:rsidR="00873ED6" w:rsidRPr="0042781F" w:rsidRDefault="00873ED6"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Taux d'inflation (en critère de convergence)</w:t>
            </w:r>
          </w:p>
        </w:tc>
        <w:tc>
          <w:tcPr>
            <w:tcW w:w="751" w:type="dxa"/>
            <w:vAlign w:val="bottom"/>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751" w:type="dxa"/>
            <w:vAlign w:val="bottom"/>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751" w:type="dxa"/>
            <w:vAlign w:val="bottom"/>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-0,6%</w:t>
            </w:r>
          </w:p>
        </w:tc>
        <w:tc>
          <w:tcPr>
            <w:tcW w:w="747" w:type="dxa"/>
            <w:vAlign w:val="bottom"/>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-0,4%</w:t>
            </w:r>
          </w:p>
        </w:tc>
        <w:tc>
          <w:tcPr>
            <w:tcW w:w="699" w:type="dxa"/>
            <w:vAlign w:val="bottom"/>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0,0%</w:t>
            </w:r>
          </w:p>
        </w:tc>
        <w:tc>
          <w:tcPr>
            <w:tcW w:w="699" w:type="dxa"/>
            <w:vAlign w:val="bottom"/>
          </w:tcPr>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+0,2%</w:t>
            </w:r>
          </w:p>
        </w:tc>
        <w:tc>
          <w:tcPr>
            <w:tcW w:w="699" w:type="dxa"/>
          </w:tcPr>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699" w:type="dxa"/>
          </w:tcPr>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+1,4%</w:t>
            </w:r>
          </w:p>
        </w:tc>
        <w:tc>
          <w:tcPr>
            <w:tcW w:w="699" w:type="dxa"/>
          </w:tcPr>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+2,0%</w:t>
            </w:r>
          </w:p>
        </w:tc>
        <w:tc>
          <w:tcPr>
            <w:tcW w:w="699" w:type="dxa"/>
          </w:tcPr>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+2,5%</w:t>
            </w:r>
          </w:p>
        </w:tc>
        <w:tc>
          <w:tcPr>
            <w:tcW w:w="699" w:type="dxa"/>
          </w:tcPr>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+2,9%</w:t>
            </w:r>
          </w:p>
        </w:tc>
        <w:tc>
          <w:tcPr>
            <w:tcW w:w="626" w:type="dxa"/>
          </w:tcPr>
          <w:p w:rsidR="00873ED6" w:rsidRDefault="00873ED6" w:rsidP="003671B8">
            <w:pPr>
              <w:jc w:val="center"/>
              <w:rPr>
                <w:rFonts w:ascii="Times New Roman" w:hAnsi="Times New Roman" w:cs="Times New Roman"/>
                <w:color w:val="000000"/>
                <w:sz w:val="16"/>
                <w:szCs w:val="16"/>
              </w:rPr>
            </w:pPr>
          </w:p>
          <w:p w:rsidR="00873ED6" w:rsidRDefault="00873ED6" w:rsidP="003671B8">
            <w:pPr>
              <w:jc w:val="center"/>
              <w:rPr>
                <w:rFonts w:ascii="Times New Roman" w:hAnsi="Times New Roman" w:cs="Times New Roman"/>
                <w:color w:val="000000"/>
                <w:sz w:val="16"/>
                <w:szCs w:val="16"/>
              </w:rPr>
            </w:pPr>
          </w:p>
          <w:p w:rsidR="00873ED6" w:rsidRPr="0042781F" w:rsidRDefault="00873ED6"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626" w:type="dxa"/>
          </w:tcPr>
          <w:p w:rsidR="00873ED6" w:rsidRDefault="00873ED6" w:rsidP="003671B8">
            <w:pPr>
              <w:jc w:val="center"/>
              <w:rPr>
                <w:rFonts w:ascii="Times New Roman" w:hAnsi="Times New Roman" w:cs="Times New Roman"/>
                <w:color w:val="000000"/>
                <w:sz w:val="16"/>
                <w:szCs w:val="16"/>
              </w:rPr>
            </w:pPr>
          </w:p>
          <w:p w:rsidR="00873ED6" w:rsidRDefault="00873ED6" w:rsidP="003671B8">
            <w:pPr>
              <w:jc w:val="center"/>
              <w:rPr>
                <w:rFonts w:ascii="Times New Roman" w:hAnsi="Times New Roman" w:cs="Times New Roman"/>
                <w:color w:val="000000"/>
                <w:sz w:val="16"/>
                <w:szCs w:val="16"/>
              </w:rPr>
            </w:pPr>
          </w:p>
          <w:p w:rsidR="00873ED6" w:rsidRDefault="00E2297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r w:rsidR="00873ED6">
              <w:rPr>
                <w:rFonts w:ascii="Times New Roman" w:hAnsi="Times New Roman" w:cs="Times New Roman"/>
                <w:color w:val="000000"/>
                <w:sz w:val="16"/>
                <w:szCs w:val="16"/>
              </w:rPr>
              <w:t>%</w:t>
            </w:r>
          </w:p>
        </w:tc>
      </w:tr>
    </w:tbl>
    <w:p w:rsidR="003671B8" w:rsidRDefault="003671B8" w:rsidP="003671B8">
      <w:pPr>
        <w:rPr>
          <w:bCs/>
          <w:sz w:val="16"/>
          <w:szCs w:val="16"/>
        </w:rPr>
      </w:pPr>
      <w:r w:rsidRPr="0042781F">
        <w:rPr>
          <w:rFonts w:ascii="Times New Roman" w:eastAsiaTheme="majorEastAsia" w:hAnsi="Times New Roman" w:cstheme="majorBidi"/>
          <w:bCs/>
          <w:i/>
          <w:iCs/>
          <w:sz w:val="16"/>
          <w:szCs w:val="16"/>
          <w:u w:val="single"/>
        </w:rPr>
        <w:t>Source </w:t>
      </w:r>
      <w:r w:rsidRPr="00E22F01">
        <w:rPr>
          <w:bCs/>
          <w:sz w:val="16"/>
          <w:szCs w:val="16"/>
        </w:rPr>
        <w:t xml:space="preserve">: </w:t>
      </w:r>
      <w:r w:rsidR="006972F4">
        <w:rPr>
          <w:rFonts w:ascii="Times New Roman" w:eastAsiaTheme="majorEastAsia" w:hAnsi="Times New Roman" w:cstheme="majorBidi"/>
          <w:bCs/>
          <w:i/>
          <w:iCs/>
          <w:sz w:val="16"/>
          <w:szCs w:val="16"/>
        </w:rPr>
        <w:t xml:space="preserve">DSS/INSAE, </w:t>
      </w:r>
      <w:r w:rsidR="00397D09">
        <w:rPr>
          <w:rFonts w:ascii="Times New Roman" w:eastAsiaTheme="majorEastAsia" w:hAnsi="Times New Roman" w:cstheme="majorBidi"/>
          <w:bCs/>
          <w:i/>
          <w:iCs/>
          <w:sz w:val="16"/>
          <w:szCs w:val="16"/>
        </w:rPr>
        <w:t>décembre</w:t>
      </w:r>
      <w:r w:rsidRPr="0042781F">
        <w:rPr>
          <w:rFonts w:ascii="Times New Roman" w:eastAsiaTheme="majorEastAsia" w:hAnsi="Times New Roman" w:cstheme="majorBidi"/>
          <w:bCs/>
          <w:i/>
          <w:iCs/>
          <w:sz w:val="16"/>
          <w:szCs w:val="16"/>
        </w:rPr>
        <w:t xml:space="preserve">  2020</w:t>
      </w:r>
    </w:p>
    <w:p w:rsidR="009E7C4B" w:rsidRDefault="009E7C4B" w:rsidP="003671B8">
      <w:pPr>
        <w:tabs>
          <w:tab w:val="left" w:pos="1740"/>
        </w:tabs>
        <w:rPr>
          <w:b/>
          <w:bCs/>
          <w:i/>
          <w:iCs/>
        </w:rPr>
      </w:pPr>
    </w:p>
    <w:p w:rsidR="009E7C4B" w:rsidRPr="009E7C4B" w:rsidRDefault="009E7C4B" w:rsidP="009E7C4B"/>
    <w:p w:rsidR="009E7C4B" w:rsidRPr="009E7C4B" w:rsidRDefault="009E7C4B" w:rsidP="009E7C4B"/>
    <w:p w:rsidR="009E7C4B" w:rsidRDefault="009E7C4B" w:rsidP="003671B8">
      <w:pPr>
        <w:tabs>
          <w:tab w:val="left" w:pos="1740"/>
        </w:tabs>
      </w:pPr>
    </w:p>
    <w:p w:rsidR="009E7C4B" w:rsidRDefault="009E7C4B" w:rsidP="009E7C4B">
      <w:pPr>
        <w:tabs>
          <w:tab w:val="left" w:pos="3063"/>
        </w:tabs>
      </w:pPr>
      <w:r>
        <w:tab/>
      </w:r>
    </w:p>
    <w:p w:rsidR="003671B8" w:rsidRPr="0042781F" w:rsidRDefault="003671B8" w:rsidP="003671B8">
      <w:pPr>
        <w:tabs>
          <w:tab w:val="left" w:pos="1740"/>
        </w:tabs>
        <w:rPr>
          <w:rFonts w:ascii="Times New Roman" w:hAnsi="Times New Roman" w:cs="Times New Roman"/>
          <w:b/>
          <w:bCs/>
          <w:i/>
          <w:iCs/>
          <w:sz w:val="24"/>
          <w:szCs w:val="24"/>
        </w:rPr>
      </w:pPr>
      <w:r w:rsidRPr="009E7C4B">
        <w:br w:type="page"/>
      </w:r>
      <w:r w:rsidRPr="0042781F">
        <w:rPr>
          <w:rFonts w:ascii="Times New Roman" w:hAnsi="Times New Roman" w:cs="Times New Roman"/>
          <w:b/>
          <w:bCs/>
          <w:i/>
          <w:iCs/>
          <w:sz w:val="24"/>
          <w:szCs w:val="24"/>
        </w:rPr>
        <w:lastRenderedPageBreak/>
        <w:t>Graphique1 : Evolution de l'indice global et de l'indice hors produits frais et énergétiques</w:t>
      </w:r>
    </w:p>
    <w:p w:rsidR="003671B8" w:rsidRDefault="000B20B0" w:rsidP="003671B8">
      <w:pPr>
        <w:tabs>
          <w:tab w:val="left" w:pos="1740"/>
        </w:tabs>
        <w:rPr>
          <w:b/>
          <w:bCs/>
          <w:i/>
          <w:iCs/>
        </w:rPr>
      </w:pPr>
      <w:r w:rsidRPr="000B20B0">
        <w:rPr>
          <w:b/>
          <w:bCs/>
          <w:i/>
          <w:iCs/>
          <w:noProof/>
          <w:lang w:eastAsia="fr-FR"/>
        </w:rPr>
        <w:drawing>
          <wp:inline distT="0" distB="0" distL="0" distR="0">
            <wp:extent cx="4416473" cy="2101755"/>
            <wp:effectExtent l="19050" t="0" r="22177" b="0"/>
            <wp:docPr id="8"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71B8" w:rsidRDefault="003671B8" w:rsidP="003671B8">
      <w:pPr>
        <w:tabs>
          <w:tab w:val="left" w:pos="1740"/>
        </w:tabs>
        <w:rPr>
          <w:noProof/>
          <w:sz w:val="16"/>
          <w:szCs w:val="16"/>
          <w:u w:val="single"/>
        </w:rPr>
      </w:pPr>
    </w:p>
    <w:p w:rsidR="003671B8" w:rsidRPr="0042781F" w:rsidRDefault="003671B8" w:rsidP="003671B8">
      <w:pPr>
        <w:tabs>
          <w:tab w:val="left" w:pos="1740"/>
        </w:tabs>
        <w:rPr>
          <w:rFonts w:ascii="Times New Roman" w:hAnsi="Times New Roman" w:cs="Times New Roman"/>
        </w:rPr>
      </w:pPr>
      <w:r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397D09">
        <w:rPr>
          <w:rFonts w:ascii="Times New Roman" w:hAnsi="Times New Roman" w:cs="Times New Roman"/>
          <w:bCs/>
          <w:sz w:val="16"/>
          <w:szCs w:val="16"/>
        </w:rPr>
        <w:t xml:space="preserve">décembre </w:t>
      </w:r>
      <w:r w:rsidRPr="0042781F">
        <w:rPr>
          <w:rFonts w:ascii="Times New Roman" w:hAnsi="Times New Roman" w:cs="Times New Roman"/>
          <w:bCs/>
          <w:sz w:val="16"/>
          <w:szCs w:val="16"/>
        </w:rPr>
        <w:t>2020</w:t>
      </w:r>
    </w:p>
    <w:p w:rsidR="003671B8" w:rsidRDefault="003671B8" w:rsidP="003671B8"/>
    <w:p w:rsidR="000B20B0" w:rsidRPr="000B20B0" w:rsidRDefault="003671B8" w:rsidP="003671B8">
      <w:pPr>
        <w:rPr>
          <w:rFonts w:ascii="Times New Roman" w:hAnsi="Times New Roman" w:cs="Times New Roman"/>
          <w:b/>
          <w:bCs/>
          <w:i/>
          <w:iCs/>
          <w:sz w:val="24"/>
          <w:szCs w:val="24"/>
        </w:rPr>
      </w:pPr>
      <w:r w:rsidRPr="0042781F">
        <w:rPr>
          <w:rFonts w:ascii="Times New Roman" w:hAnsi="Times New Roman" w:cs="Times New Roman"/>
          <w:b/>
          <w:bCs/>
          <w:i/>
          <w:iCs/>
          <w:sz w:val="24"/>
          <w:szCs w:val="24"/>
        </w:rPr>
        <w:t>Graphique 2 : Evolution mensuelle de l'indice global et de l'indice des produits alimentaires</w:t>
      </w:r>
    </w:p>
    <w:p w:rsidR="003671B8" w:rsidRDefault="000B20B0" w:rsidP="003671B8">
      <w:pPr>
        <w:rPr>
          <w:noProof/>
          <w:sz w:val="16"/>
          <w:szCs w:val="16"/>
          <w:u w:val="single"/>
        </w:rPr>
      </w:pPr>
      <w:r w:rsidRPr="000B20B0">
        <w:rPr>
          <w:noProof/>
          <w:sz w:val="16"/>
          <w:szCs w:val="16"/>
          <w:u w:val="single"/>
          <w:lang w:eastAsia="fr-FR"/>
        </w:rPr>
        <w:drawing>
          <wp:inline distT="0" distB="0" distL="0" distR="0">
            <wp:extent cx="4483754" cy="1658203"/>
            <wp:effectExtent l="19050" t="0" r="12046"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71B8" w:rsidRPr="0042781F" w:rsidRDefault="003671B8" w:rsidP="003671B8">
      <w:pPr>
        <w:rPr>
          <w:rFonts w:ascii="Times New Roman" w:hAnsi="Times New Roman" w:cs="Times New Roman"/>
        </w:rPr>
      </w:pPr>
      <w:r w:rsidRPr="0042781F">
        <w:rPr>
          <w:rFonts w:ascii="Times New Roman" w:hAnsi="Times New Roman" w:cs="Times New Roman"/>
          <w:bCs/>
          <w:sz w:val="16"/>
          <w:szCs w:val="16"/>
          <w:u w:val="single"/>
        </w:rPr>
        <w:t>Source</w:t>
      </w:r>
      <w:r w:rsidR="00397D09">
        <w:rPr>
          <w:rFonts w:ascii="Times New Roman" w:hAnsi="Times New Roman" w:cs="Times New Roman"/>
          <w:bCs/>
          <w:sz w:val="16"/>
          <w:szCs w:val="16"/>
        </w:rPr>
        <w:t> : DSS/INSAE, décembre</w:t>
      </w:r>
      <w:r w:rsidRPr="0042781F">
        <w:rPr>
          <w:rFonts w:ascii="Times New Roman" w:hAnsi="Times New Roman" w:cs="Times New Roman"/>
          <w:bCs/>
          <w:sz w:val="16"/>
          <w:szCs w:val="16"/>
        </w:rPr>
        <w:t xml:space="preserve"> 2020</w:t>
      </w:r>
    </w:p>
    <w:p w:rsidR="003671B8" w:rsidRDefault="003671B8" w:rsidP="003671B8"/>
    <w:p w:rsidR="003671B8" w:rsidRPr="0042781F" w:rsidRDefault="003671B8" w:rsidP="003671B8">
      <w:pPr>
        <w:rPr>
          <w:rFonts w:ascii="Times New Roman" w:hAnsi="Times New Roman" w:cs="Times New Roman"/>
          <w:b/>
          <w:bCs/>
          <w:i/>
          <w:iCs/>
          <w:sz w:val="24"/>
          <w:szCs w:val="24"/>
        </w:rPr>
      </w:pPr>
      <w:r w:rsidRPr="0042781F">
        <w:rPr>
          <w:rFonts w:ascii="Times New Roman" w:hAnsi="Times New Roman" w:cs="Times New Roman"/>
          <w:b/>
          <w:bCs/>
          <w:i/>
          <w:iCs/>
          <w:sz w:val="24"/>
          <w:szCs w:val="24"/>
        </w:rPr>
        <w:t xml:space="preserve">Graphique 3 : Evolution mensuelle des indices du transport et logement, eau, gaz, électricité et autres combustibles </w:t>
      </w:r>
    </w:p>
    <w:p w:rsidR="003671B8" w:rsidRPr="00093522" w:rsidRDefault="003671B8" w:rsidP="003671B8">
      <w:pPr>
        <w:rPr>
          <w:b/>
          <w:bCs/>
          <w:i/>
          <w:iCs/>
          <w:sz w:val="10"/>
          <w:szCs w:val="10"/>
        </w:rPr>
      </w:pPr>
    </w:p>
    <w:p w:rsidR="00B16003" w:rsidRDefault="000B20B0" w:rsidP="003671B8">
      <w:pPr>
        <w:rPr>
          <w:rFonts w:ascii="Times New Roman" w:hAnsi="Times New Roman" w:cs="Times New Roman"/>
          <w:bCs/>
          <w:sz w:val="16"/>
          <w:szCs w:val="16"/>
          <w:u w:val="single"/>
        </w:rPr>
      </w:pPr>
      <w:r w:rsidRPr="000B20B0">
        <w:rPr>
          <w:rFonts w:ascii="Times New Roman" w:hAnsi="Times New Roman" w:cs="Times New Roman"/>
          <w:bCs/>
          <w:noProof/>
          <w:sz w:val="16"/>
          <w:szCs w:val="16"/>
          <w:u w:val="single"/>
          <w:lang w:eastAsia="fr-FR"/>
        </w:rPr>
        <w:drawing>
          <wp:inline distT="0" distB="0" distL="0" distR="0">
            <wp:extent cx="4587070" cy="1931158"/>
            <wp:effectExtent l="19050" t="0" r="23030" b="0"/>
            <wp:docPr id="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1B8" w:rsidRPr="0042781F" w:rsidRDefault="003671B8" w:rsidP="003671B8">
      <w:pPr>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397D09">
        <w:rPr>
          <w:rFonts w:ascii="Times New Roman" w:hAnsi="Times New Roman" w:cs="Times New Roman"/>
          <w:bCs/>
          <w:sz w:val="16"/>
          <w:szCs w:val="16"/>
        </w:rPr>
        <w:t xml:space="preserve">décembre </w:t>
      </w:r>
      <w:r w:rsidRPr="0042781F">
        <w:rPr>
          <w:rFonts w:ascii="Times New Roman" w:hAnsi="Times New Roman" w:cs="Times New Roman"/>
          <w:bCs/>
          <w:sz w:val="16"/>
          <w:szCs w:val="16"/>
        </w:rPr>
        <w:t>2020</w:t>
      </w:r>
    </w:p>
    <w:p w:rsidR="0080208F" w:rsidRDefault="003671B8" w:rsidP="003671B8">
      <w:r w:rsidRPr="0042781F">
        <w:rPr>
          <w:rFonts w:ascii="Times New Roman" w:hAnsi="Times New Roman" w:cs="Times New Roman"/>
          <w:b/>
          <w:bCs/>
          <w:i/>
          <w:iCs/>
          <w:sz w:val="24"/>
          <w:szCs w:val="24"/>
        </w:rPr>
        <w:t>Graphique 4 : Evolution mensuelle des indices des produits importés et locaux</w:t>
      </w:r>
      <w:r w:rsidR="000B20B0" w:rsidRPr="000B20B0">
        <w:rPr>
          <w:noProof/>
          <w:lang w:eastAsia="fr-FR"/>
        </w:rPr>
        <w:drawing>
          <wp:inline distT="0" distB="0" distL="0" distR="0">
            <wp:extent cx="4584681" cy="1774209"/>
            <wp:effectExtent l="19050" t="0" r="25419" b="0"/>
            <wp:docPr id="10"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71B8" w:rsidRDefault="003671B8" w:rsidP="003671B8">
      <w:pPr>
        <w:jc w:val="both"/>
        <w:rPr>
          <w:rFonts w:ascii="Times New Roman" w:hAnsi="Times New Roman" w:cs="Times New Roman"/>
          <w:bCs/>
          <w:iCs/>
          <w:sz w:val="16"/>
          <w:szCs w:val="16"/>
        </w:rPr>
      </w:pPr>
      <w:r w:rsidRPr="0042781F">
        <w:rPr>
          <w:rFonts w:ascii="Times New Roman" w:hAnsi="Times New Roman" w:cs="Times New Roman"/>
          <w:bCs/>
          <w:iCs/>
          <w:sz w:val="16"/>
          <w:szCs w:val="16"/>
          <w:u w:val="single"/>
        </w:rPr>
        <w:t>Source </w:t>
      </w:r>
      <w:r w:rsidRPr="0042781F">
        <w:rPr>
          <w:rFonts w:ascii="Times New Roman" w:hAnsi="Times New Roman" w:cs="Times New Roman"/>
          <w:b/>
          <w:bCs/>
          <w:iCs/>
          <w:sz w:val="16"/>
          <w:szCs w:val="16"/>
        </w:rPr>
        <w:t xml:space="preserve">: </w:t>
      </w:r>
      <w:r w:rsidRPr="0042781F">
        <w:rPr>
          <w:rFonts w:ascii="Times New Roman" w:hAnsi="Times New Roman" w:cs="Times New Roman"/>
          <w:bCs/>
          <w:iCs/>
          <w:sz w:val="16"/>
          <w:szCs w:val="16"/>
        </w:rPr>
        <w:t xml:space="preserve">DSS/INSAE, </w:t>
      </w:r>
      <w:r w:rsidR="00397D09">
        <w:rPr>
          <w:rFonts w:ascii="Times New Roman" w:hAnsi="Times New Roman" w:cs="Times New Roman"/>
          <w:bCs/>
          <w:sz w:val="16"/>
          <w:szCs w:val="16"/>
        </w:rPr>
        <w:t>décembre</w:t>
      </w:r>
      <w:r w:rsidRPr="0042781F">
        <w:rPr>
          <w:rFonts w:ascii="Times New Roman" w:hAnsi="Times New Roman" w:cs="Times New Roman"/>
          <w:bCs/>
          <w:iCs/>
          <w:sz w:val="16"/>
          <w:szCs w:val="16"/>
        </w:rPr>
        <w:t xml:space="preserve"> 2020</w:t>
      </w:r>
    </w:p>
    <w:p w:rsidR="0080208F" w:rsidRPr="0042781F" w:rsidRDefault="0080208F" w:rsidP="003671B8">
      <w:pPr>
        <w:jc w:val="both"/>
        <w:rPr>
          <w:rFonts w:ascii="Times New Roman" w:hAnsi="Times New Roman" w:cs="Times New Roman"/>
          <w:bCs/>
          <w:iCs/>
          <w:sz w:val="16"/>
          <w:szCs w:val="16"/>
        </w:rPr>
      </w:pPr>
    </w:p>
    <w:p w:rsidR="003671B8" w:rsidRDefault="003671B8" w:rsidP="003671B8">
      <w:pPr>
        <w:jc w:val="both"/>
        <w:rPr>
          <w:b/>
          <w:bCs/>
          <w:i/>
          <w:iCs/>
          <w:sz w:val="16"/>
          <w:szCs w:val="16"/>
        </w:rPr>
      </w:pPr>
    </w:p>
    <w:p w:rsidR="00207C99" w:rsidRPr="00AF6C85" w:rsidRDefault="00207C99" w:rsidP="003671B8">
      <w:pPr>
        <w:jc w:val="both"/>
        <w:rPr>
          <w:b/>
          <w:bCs/>
          <w:i/>
          <w:iCs/>
          <w:sz w:val="16"/>
          <w:szCs w:val="16"/>
        </w:rPr>
      </w:pPr>
    </w:p>
    <w:p w:rsidR="003671B8" w:rsidRDefault="005E6324" w:rsidP="003671B8">
      <w:pPr>
        <w:tabs>
          <w:tab w:val="left" w:pos="960"/>
        </w:tabs>
      </w:pPr>
      <w:r>
        <w:rPr>
          <w:noProof/>
        </w:rPr>
        <w:lastRenderedPageBreak/>
        <w:pict>
          <v:shape id="Text Box 8" o:spid="_x0000_s1027" type="#_x0000_t202" style="position:absolute;margin-left:91.15pt;margin-top:3.7pt;width:281.85pt;height:4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2EKwIAAFc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kVJYZp&#10;bNGDGAJ5CwNZRnZ66wt0urfoFga8xi6nSr29A/7NEwPbjplW3DgHfSdYjdlN48vs4umI4yNI1X+E&#10;GsOwfYAENDROR+qQDILo2KXjuTMxFY6XrxdXq/lqQQlH22I5zWeLFIIVT6+t8+G9AE2iUFKHnU/o&#10;7HDnQ8yGFU8uMZgHJeudVCoprq22ypEDwynZpe+E/pObMqQv6WqBsf8OkafvTxBaBhx3JXVJl2cn&#10;VkTa3pk6DWNgUo0ypqzMicdI3UhiGKohNSyRHDmuoD4isQ7G6cZtRKED94OSHie7pP77njlBifpg&#10;sDmr6XweVyEp88XVDBV3aakuLcxwhCppoGQUt2Fcn711su0w0jgOBm6woY1MXD9ndUofpze14LRp&#10;cT0u9eT1/D/YPAIAAP//AwBQSwMEFAAGAAgAAAAhAJI9raTfAAAACgEAAA8AAABkcnMvZG93bnJl&#10;di54bWxMj8FOwzAQRO9I/IO1SFwQdRJKmoY4FUICwQ0Kgqsbb5OIeB1sNw1/z3KC42ieZt9Wm9kO&#10;YkIfekcK0kUCAqlxpqdWwdvr/WUBIkRNRg+OUME3BtjUpyeVLo070gtO29gKHqFQagVdjGMpZWg6&#10;tDos3IjE3d55qyNH30rj9ZHH7SCzJMml1T3xhU6PeNdh87k9WAXF8nH6CE9Xz+9Nvh/W8WI1PXx5&#10;pc7P5tsbEBHn+AfDrz6rQ81OO3cgE8TAucgyRhVkSQqCgdXyeg1ix02a5iDrSv5/of4BAAD//wMA&#10;UEsBAi0AFAAGAAgAAAAhALaDOJL+AAAA4QEAABMAAAAAAAAAAAAAAAAAAAAAAFtDb250ZW50X1R5&#10;cGVzXS54bWxQSwECLQAUAAYACAAAACEAOP0h/9YAAACUAQAACwAAAAAAAAAAAAAAAAAvAQAAX3Jl&#10;bHMvLnJlbHNQSwECLQAUAAYACAAAACEAGVuNhCsCAABXBAAADgAAAAAAAAAAAAAAAAAuAgAAZHJz&#10;L2Uyb0RvYy54bWxQSwECLQAUAAYACAAAACEAkj2tpN8AAAAKAQAADwAAAAAAAAAAAAAAAACFBAAA&#10;ZHJzL2Rvd25yZXYueG1sUEsFBgAAAAAEAAQA8wAAAJEFAAAAAA==&#10;">
            <v:textbox style="mso-next-textbox:#Text Box 8">
              <w:txbxContent>
                <w:p w:rsidR="00BF08E4" w:rsidRPr="0042781F" w:rsidRDefault="00BF08E4" w:rsidP="003671B8">
                  <w:pPr>
                    <w:jc w:val="center"/>
                    <w:rPr>
                      <w:rFonts w:ascii="Times New Roman" w:hAnsi="Times New Roman" w:cs="Times New Roman"/>
                      <w:b/>
                      <w:bCs/>
                      <w:sz w:val="23"/>
                      <w:szCs w:val="23"/>
                    </w:rPr>
                  </w:pPr>
                  <w:r w:rsidRPr="0042781F">
                    <w:rPr>
                      <w:rFonts w:ascii="Times New Roman" w:hAnsi="Times New Roman" w:cs="Times New Roman"/>
                      <w:b/>
                      <w:bCs/>
                      <w:sz w:val="23"/>
                      <w:szCs w:val="23"/>
                    </w:rPr>
                    <w:t xml:space="preserve">L’indice harmonisé des </w:t>
                  </w:r>
                </w:p>
                <w:p w:rsidR="00BF08E4" w:rsidRPr="0042781F" w:rsidRDefault="00BF08E4" w:rsidP="003671B8">
                  <w:pPr>
                    <w:jc w:val="center"/>
                    <w:rPr>
                      <w:rFonts w:ascii="Times New Roman" w:hAnsi="Times New Roman" w:cs="Times New Roman"/>
                      <w:b/>
                      <w:bCs/>
                      <w:sz w:val="23"/>
                      <w:szCs w:val="23"/>
                    </w:rPr>
                  </w:pPr>
                  <w:r w:rsidRPr="0042781F">
                    <w:rPr>
                      <w:rFonts w:ascii="Times New Roman" w:hAnsi="Times New Roman" w:cs="Times New Roman"/>
                      <w:b/>
                      <w:bCs/>
                      <w:sz w:val="23"/>
                      <w:szCs w:val="23"/>
                    </w:rPr>
                    <w:t>prix à la consommation</w:t>
                  </w:r>
                </w:p>
                <w:p w:rsidR="00BF08E4" w:rsidRPr="0042781F" w:rsidRDefault="00BF08E4" w:rsidP="003671B8">
                  <w:pPr>
                    <w:jc w:val="center"/>
                    <w:rPr>
                      <w:rFonts w:ascii="Times New Roman" w:hAnsi="Times New Roman" w:cs="Times New Roman"/>
                      <w:b/>
                      <w:bCs/>
                      <w:sz w:val="23"/>
                      <w:szCs w:val="23"/>
                    </w:rPr>
                  </w:pPr>
                  <w:r>
                    <w:rPr>
                      <w:rFonts w:ascii="Times New Roman" w:hAnsi="Times New Roman" w:cs="Times New Roman"/>
                      <w:b/>
                      <w:bCs/>
                      <w:sz w:val="23"/>
                      <w:szCs w:val="23"/>
                    </w:rPr>
                    <w:t>au Bénin en décembre</w:t>
                  </w:r>
                  <w:r w:rsidRPr="0042781F">
                    <w:rPr>
                      <w:rFonts w:ascii="Times New Roman" w:hAnsi="Times New Roman" w:cs="Times New Roman"/>
                      <w:b/>
                      <w:bCs/>
                      <w:sz w:val="23"/>
                      <w:szCs w:val="23"/>
                    </w:rPr>
                    <w:t xml:space="preserve"> 2020</w:t>
                  </w:r>
                </w:p>
                <w:p w:rsidR="00BF08E4" w:rsidRDefault="00BF08E4" w:rsidP="003671B8"/>
              </w:txbxContent>
            </v:textbox>
          </v:shape>
        </w:pict>
      </w:r>
    </w:p>
    <w:p w:rsidR="003671B8" w:rsidRPr="00380E69" w:rsidRDefault="003671B8" w:rsidP="003671B8"/>
    <w:p w:rsidR="003671B8" w:rsidRPr="00380E69" w:rsidRDefault="003671B8" w:rsidP="003671B8"/>
    <w:p w:rsidR="003671B8" w:rsidRDefault="003671B8" w:rsidP="003671B8"/>
    <w:p w:rsidR="0042781F" w:rsidRPr="00EF65B5" w:rsidRDefault="0042781F" w:rsidP="003671B8">
      <w:pPr>
        <w:rPr>
          <w:rFonts w:ascii="Times New Roman" w:hAnsi="Times New Roman" w:cs="Times New Roman"/>
          <w:sz w:val="24"/>
          <w:szCs w:val="24"/>
        </w:rPr>
      </w:pPr>
    </w:p>
    <w:p w:rsidR="003671B8"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Tableau 3 : IHPC suivant les nomen</w:t>
      </w:r>
      <w:r w:rsidR="00EA37C7">
        <w:rPr>
          <w:rFonts w:ascii="Times New Roman" w:hAnsi="Times New Roman" w:cs="Times New Roman"/>
          <w:b/>
          <w:sz w:val="24"/>
          <w:szCs w:val="24"/>
        </w:rPr>
        <w:t xml:space="preserve">clatures secondaires en  </w:t>
      </w:r>
      <w:r w:rsidR="00397D09">
        <w:rPr>
          <w:rFonts w:ascii="Times New Roman" w:hAnsi="Times New Roman" w:cs="Times New Roman"/>
          <w:b/>
          <w:sz w:val="24"/>
          <w:szCs w:val="24"/>
        </w:rPr>
        <w:t>décembre</w:t>
      </w:r>
      <w:r w:rsidRPr="00EF65B5">
        <w:rPr>
          <w:rFonts w:ascii="Times New Roman" w:hAnsi="Times New Roman" w:cs="Times New Roman"/>
          <w:b/>
          <w:sz w:val="24"/>
          <w:szCs w:val="24"/>
        </w:rPr>
        <w:t xml:space="preserve"> 2020</w:t>
      </w:r>
    </w:p>
    <w:tbl>
      <w:tblPr>
        <w:tblW w:w="9742" w:type="dxa"/>
        <w:tblInd w:w="70" w:type="dxa"/>
        <w:tblCellMar>
          <w:left w:w="70" w:type="dxa"/>
          <w:right w:w="70" w:type="dxa"/>
        </w:tblCellMar>
        <w:tblLook w:val="04A0"/>
      </w:tblPr>
      <w:tblGrid>
        <w:gridCol w:w="2780"/>
        <w:gridCol w:w="691"/>
        <w:gridCol w:w="810"/>
        <w:gridCol w:w="816"/>
        <w:gridCol w:w="860"/>
        <w:gridCol w:w="810"/>
        <w:gridCol w:w="810"/>
        <w:gridCol w:w="675"/>
        <w:gridCol w:w="675"/>
        <w:gridCol w:w="815"/>
      </w:tblGrid>
      <w:tr w:rsidR="005121E1" w:rsidRPr="004577D5" w:rsidTr="003671B8">
        <w:trPr>
          <w:trHeight w:val="315"/>
        </w:trPr>
        <w:tc>
          <w:tcPr>
            <w:tcW w:w="2780" w:type="dxa"/>
            <w:tcBorders>
              <w:top w:val="double" w:sz="6" w:space="0" w:color="auto"/>
              <w:left w:val="nil"/>
              <w:bottom w:val="single" w:sz="4" w:space="0" w:color="auto"/>
              <w:right w:val="nil"/>
            </w:tcBorders>
            <w:shd w:val="clear" w:color="000000" w:fill="00FFFF"/>
            <w:hideMark/>
          </w:tcPr>
          <w:p w:rsidR="005121E1" w:rsidRPr="004577D5" w:rsidRDefault="005121E1" w:rsidP="003671B8">
            <w:pPr>
              <w:rPr>
                <w:rFonts w:ascii="Times New Roman" w:hAnsi="Times New Roman" w:cs="Times New Roman"/>
                <w:sz w:val="18"/>
                <w:szCs w:val="18"/>
              </w:rPr>
            </w:pPr>
            <w:r w:rsidRPr="004577D5">
              <w:rPr>
                <w:rFonts w:ascii="Times New Roman" w:hAnsi="Times New Roman" w:cs="Times New Roman"/>
                <w:sz w:val="18"/>
                <w:szCs w:val="18"/>
              </w:rPr>
              <w:t> </w:t>
            </w:r>
          </w:p>
        </w:tc>
        <w:tc>
          <w:tcPr>
            <w:tcW w:w="691"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 </w:t>
            </w:r>
          </w:p>
        </w:tc>
        <w:tc>
          <w:tcPr>
            <w:tcW w:w="810" w:type="dxa"/>
            <w:tcBorders>
              <w:top w:val="double" w:sz="6" w:space="0" w:color="auto"/>
              <w:left w:val="nil"/>
              <w:bottom w:val="single" w:sz="4" w:space="0" w:color="auto"/>
              <w:right w:val="nil"/>
            </w:tcBorders>
            <w:shd w:val="clear" w:color="000000" w:fill="00FFFF"/>
            <w:vAlign w:val="bottom"/>
            <w:hideMark/>
          </w:tcPr>
          <w:p w:rsidR="005121E1" w:rsidRPr="004577D5" w:rsidRDefault="002C4BBA"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005121E1" w:rsidRPr="004577D5">
              <w:rPr>
                <w:rFonts w:ascii="Times New Roman" w:hAnsi="Times New Roman" w:cs="Times New Roman"/>
                <w:b/>
                <w:bCs/>
                <w:sz w:val="18"/>
                <w:szCs w:val="18"/>
              </w:rPr>
              <w:t>.-19</w:t>
            </w:r>
          </w:p>
        </w:tc>
        <w:tc>
          <w:tcPr>
            <w:tcW w:w="816"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81467C">
            <w:pPr>
              <w:jc w:val="center"/>
              <w:rPr>
                <w:rFonts w:ascii="Times New Roman" w:hAnsi="Times New Roman" w:cs="Times New Roman"/>
                <w:b/>
                <w:bCs/>
                <w:sz w:val="18"/>
                <w:szCs w:val="18"/>
              </w:rPr>
            </w:pPr>
            <w:r w:rsidRPr="004577D5">
              <w:rPr>
                <w:rFonts w:ascii="Times New Roman" w:hAnsi="Times New Roman" w:cs="Times New Roman"/>
                <w:b/>
                <w:bCs/>
                <w:sz w:val="18"/>
                <w:szCs w:val="18"/>
              </w:rPr>
              <w:t>sept-20</w:t>
            </w:r>
          </w:p>
        </w:tc>
        <w:tc>
          <w:tcPr>
            <w:tcW w:w="860"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81467C">
            <w:pPr>
              <w:jc w:val="center"/>
              <w:rPr>
                <w:rFonts w:ascii="Times New Roman" w:hAnsi="Times New Roman" w:cs="Times New Roman"/>
                <w:b/>
                <w:bCs/>
                <w:sz w:val="18"/>
                <w:szCs w:val="18"/>
              </w:rPr>
            </w:pPr>
            <w:r w:rsidRPr="004577D5">
              <w:rPr>
                <w:rFonts w:ascii="Times New Roman" w:hAnsi="Times New Roman" w:cs="Times New Roman"/>
                <w:b/>
                <w:bCs/>
                <w:sz w:val="18"/>
                <w:szCs w:val="18"/>
              </w:rPr>
              <w:t>oct.-20</w:t>
            </w:r>
          </w:p>
        </w:tc>
        <w:tc>
          <w:tcPr>
            <w:tcW w:w="810"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81467C">
            <w:pPr>
              <w:jc w:val="center"/>
              <w:rPr>
                <w:rFonts w:ascii="Times New Roman" w:hAnsi="Times New Roman" w:cs="Times New Roman"/>
                <w:b/>
                <w:bCs/>
                <w:sz w:val="18"/>
                <w:szCs w:val="18"/>
              </w:rPr>
            </w:pPr>
            <w:r w:rsidRPr="004577D5">
              <w:rPr>
                <w:rFonts w:ascii="Times New Roman" w:hAnsi="Times New Roman" w:cs="Times New Roman"/>
                <w:b/>
                <w:bCs/>
                <w:sz w:val="18"/>
                <w:szCs w:val="18"/>
              </w:rPr>
              <w:t>nov.-20</w:t>
            </w:r>
          </w:p>
        </w:tc>
        <w:tc>
          <w:tcPr>
            <w:tcW w:w="810"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Pr="004577D5">
              <w:rPr>
                <w:rFonts w:ascii="Times New Roman" w:hAnsi="Times New Roman" w:cs="Times New Roman"/>
                <w:b/>
                <w:bCs/>
                <w:sz w:val="18"/>
                <w:szCs w:val="18"/>
              </w:rPr>
              <w:t>-20</w:t>
            </w:r>
          </w:p>
        </w:tc>
        <w:tc>
          <w:tcPr>
            <w:tcW w:w="675"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 mois</w:t>
            </w:r>
          </w:p>
        </w:tc>
        <w:tc>
          <w:tcPr>
            <w:tcW w:w="675"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3 mois</w:t>
            </w:r>
          </w:p>
        </w:tc>
        <w:tc>
          <w:tcPr>
            <w:tcW w:w="815"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12 mois</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global</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10000</w:t>
            </w:r>
          </w:p>
        </w:tc>
        <w:tc>
          <w:tcPr>
            <w:tcW w:w="81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101,5</w:t>
            </w:r>
          </w:p>
        </w:tc>
        <w:tc>
          <w:tcPr>
            <w:tcW w:w="816"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104,5</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104,9</w:t>
            </w:r>
          </w:p>
        </w:tc>
        <w:tc>
          <w:tcPr>
            <w:tcW w:w="81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104,4</w:t>
            </w:r>
          </w:p>
        </w:tc>
        <w:tc>
          <w:tcPr>
            <w:tcW w:w="81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102,6</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-1,7%</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-1,8%</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frais</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2279</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98,7</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103,6</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107,2</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107,8</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102,0</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-5,4%</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-1,5%</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3,3%</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énergie</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1077</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105,1</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102,9</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99,2</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97,4</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92,7</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-4,8%</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-9,9%</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-11,8%</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hors énergie, hors produits frais</w:t>
            </w:r>
          </w:p>
        </w:tc>
        <w:tc>
          <w:tcPr>
            <w:tcW w:w="691" w:type="dxa"/>
            <w:tcBorders>
              <w:top w:val="nil"/>
              <w:left w:val="nil"/>
              <w:bottom w:val="nil"/>
              <w:right w:val="nil"/>
            </w:tcBorders>
            <w:shd w:val="clear" w:color="auto" w:fill="auto"/>
            <w:noWrap/>
            <w:vAlign w:val="center"/>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6644</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102,6</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106,2</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106,1</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106,3</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105,3</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-0,9%</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-0,8%</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2,6%</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primaire</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758</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98,6</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103,9</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105,8</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106,5</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99,9</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-6,2%</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-3,8%</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1,3%</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secondaire</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4872</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101,4</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104,2</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103,9</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103,5</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102,5</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-1,6%</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tertiaire (services)</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104,1</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106,9</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107,3</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107,6</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105,7</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-1,8%</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1,5%</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importés</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2743</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101,9</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102,3</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102,4</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102,2</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101,4</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-0,8%</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-0,9%</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-0,5%</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locaux</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7257</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101,9</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106,3</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106,9</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107,3</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103,9</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-3,2%</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-2,3%</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2,0%</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durables</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125</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104,0</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104,7</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104,8</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104,8</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104,7</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0,0%</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0,7%</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semi durables</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628</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104,4</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107,7</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104,2</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103,4</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102,7</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-0,7%</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-4,6%</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-1,6%</w:t>
            </w:r>
          </w:p>
        </w:tc>
      </w:tr>
      <w:tr w:rsidR="00207C99" w:rsidRPr="004577D5" w:rsidTr="003671B8">
        <w:trPr>
          <w:trHeight w:val="300"/>
        </w:trPr>
        <w:tc>
          <w:tcPr>
            <w:tcW w:w="2780" w:type="dxa"/>
            <w:tcBorders>
              <w:top w:val="nil"/>
              <w:left w:val="nil"/>
              <w:bottom w:val="nil"/>
              <w:right w:val="nil"/>
            </w:tcBorders>
            <w:shd w:val="clear" w:color="auto" w:fill="auto"/>
            <w:noWrap/>
            <w:vAlign w:val="bottom"/>
            <w:hideMark/>
          </w:tcPr>
          <w:p w:rsidR="00207C99" w:rsidRPr="004577D5" w:rsidRDefault="00207C99"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non durables</w:t>
            </w:r>
          </w:p>
        </w:tc>
        <w:tc>
          <w:tcPr>
            <w:tcW w:w="691" w:type="dxa"/>
            <w:tcBorders>
              <w:top w:val="nil"/>
              <w:left w:val="nil"/>
              <w:bottom w:val="nil"/>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4877</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99,6</w:t>
            </w:r>
          </w:p>
        </w:tc>
        <w:tc>
          <w:tcPr>
            <w:tcW w:w="816"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103,3</w:t>
            </w:r>
          </w:p>
        </w:tc>
        <w:tc>
          <w:tcPr>
            <w:tcW w:w="86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104,6</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104,9</w:t>
            </w:r>
          </w:p>
        </w:tc>
        <w:tc>
          <w:tcPr>
            <w:tcW w:w="810" w:type="dxa"/>
            <w:tcBorders>
              <w:top w:val="nil"/>
              <w:left w:val="nil"/>
              <w:bottom w:val="nil"/>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101,3</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-3,4%</w:t>
            </w:r>
          </w:p>
        </w:tc>
        <w:tc>
          <w:tcPr>
            <w:tcW w:w="67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-1,9%</w:t>
            </w:r>
          </w:p>
        </w:tc>
        <w:tc>
          <w:tcPr>
            <w:tcW w:w="815" w:type="dxa"/>
            <w:tcBorders>
              <w:top w:val="nil"/>
              <w:left w:val="nil"/>
              <w:bottom w:val="nil"/>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1,7%</w:t>
            </w:r>
          </w:p>
        </w:tc>
      </w:tr>
      <w:tr w:rsidR="00207C99" w:rsidRPr="004577D5" w:rsidTr="003671B8">
        <w:trPr>
          <w:trHeight w:val="315"/>
        </w:trPr>
        <w:tc>
          <w:tcPr>
            <w:tcW w:w="2780" w:type="dxa"/>
            <w:tcBorders>
              <w:top w:val="nil"/>
              <w:left w:val="nil"/>
              <w:bottom w:val="double" w:sz="6" w:space="0" w:color="auto"/>
              <w:right w:val="nil"/>
            </w:tcBorders>
            <w:shd w:val="clear" w:color="auto" w:fill="auto"/>
            <w:noWrap/>
            <w:vAlign w:val="bottom"/>
            <w:hideMark/>
          </w:tcPr>
          <w:p w:rsidR="00207C99" w:rsidRPr="004577D5" w:rsidRDefault="00207C99" w:rsidP="003671B8">
            <w:pPr>
              <w:rPr>
                <w:rFonts w:ascii="Times New Roman" w:hAnsi="Times New Roman" w:cs="Times New Roman"/>
                <w:sz w:val="18"/>
                <w:szCs w:val="18"/>
              </w:rPr>
            </w:pPr>
            <w:r w:rsidRPr="004577D5">
              <w:rPr>
                <w:rFonts w:ascii="Times New Roman" w:hAnsi="Times New Roman" w:cs="Times New Roman"/>
                <w:color w:val="000000"/>
                <w:sz w:val="18"/>
                <w:szCs w:val="18"/>
              </w:rPr>
              <w:t>Services</w:t>
            </w:r>
          </w:p>
        </w:tc>
        <w:tc>
          <w:tcPr>
            <w:tcW w:w="691" w:type="dxa"/>
            <w:tcBorders>
              <w:top w:val="nil"/>
              <w:left w:val="nil"/>
              <w:bottom w:val="double" w:sz="6" w:space="0" w:color="auto"/>
              <w:right w:val="nil"/>
            </w:tcBorders>
            <w:shd w:val="clear" w:color="auto" w:fill="auto"/>
            <w:noWrap/>
            <w:vAlign w:val="bottom"/>
            <w:hideMark/>
          </w:tcPr>
          <w:p w:rsidR="00207C99" w:rsidRPr="004577D5" w:rsidRDefault="00207C99"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double" w:sz="6" w:space="0" w:color="auto"/>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104,1</w:t>
            </w:r>
          </w:p>
        </w:tc>
        <w:tc>
          <w:tcPr>
            <w:tcW w:w="816" w:type="dxa"/>
            <w:tcBorders>
              <w:top w:val="nil"/>
              <w:left w:val="nil"/>
              <w:bottom w:val="double" w:sz="6" w:space="0" w:color="auto"/>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106,9</w:t>
            </w:r>
          </w:p>
        </w:tc>
        <w:tc>
          <w:tcPr>
            <w:tcW w:w="860" w:type="dxa"/>
            <w:tcBorders>
              <w:top w:val="nil"/>
              <w:left w:val="nil"/>
              <w:bottom w:val="double" w:sz="6" w:space="0" w:color="auto"/>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107,3</w:t>
            </w:r>
          </w:p>
        </w:tc>
        <w:tc>
          <w:tcPr>
            <w:tcW w:w="810" w:type="dxa"/>
            <w:tcBorders>
              <w:top w:val="nil"/>
              <w:left w:val="nil"/>
              <w:bottom w:val="double" w:sz="6" w:space="0" w:color="auto"/>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107,6</w:t>
            </w:r>
          </w:p>
        </w:tc>
        <w:tc>
          <w:tcPr>
            <w:tcW w:w="810" w:type="dxa"/>
            <w:tcBorders>
              <w:top w:val="nil"/>
              <w:left w:val="nil"/>
              <w:bottom w:val="double" w:sz="6" w:space="0" w:color="auto"/>
              <w:right w:val="nil"/>
            </w:tcBorders>
            <w:shd w:val="clear" w:color="auto" w:fill="auto"/>
            <w:noWrap/>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105,7</w:t>
            </w:r>
          </w:p>
        </w:tc>
        <w:tc>
          <w:tcPr>
            <w:tcW w:w="675" w:type="dxa"/>
            <w:tcBorders>
              <w:top w:val="nil"/>
              <w:left w:val="nil"/>
              <w:bottom w:val="double" w:sz="6" w:space="0" w:color="auto"/>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-1,8%</w:t>
            </w:r>
          </w:p>
        </w:tc>
        <w:tc>
          <w:tcPr>
            <w:tcW w:w="675" w:type="dxa"/>
            <w:tcBorders>
              <w:top w:val="nil"/>
              <w:left w:val="nil"/>
              <w:bottom w:val="double" w:sz="6" w:space="0" w:color="auto"/>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w:t>
            </w:r>
          </w:p>
        </w:tc>
        <w:tc>
          <w:tcPr>
            <w:tcW w:w="815" w:type="dxa"/>
            <w:tcBorders>
              <w:top w:val="nil"/>
              <w:left w:val="nil"/>
              <w:bottom w:val="double" w:sz="6" w:space="0" w:color="auto"/>
              <w:right w:val="nil"/>
            </w:tcBorders>
            <w:shd w:val="clear" w:color="auto" w:fill="auto"/>
            <w:vAlign w:val="center"/>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1,5%</w:t>
            </w:r>
          </w:p>
        </w:tc>
      </w:tr>
    </w:tbl>
    <w:p w:rsidR="003671B8" w:rsidRPr="00B54150" w:rsidRDefault="00207C99" w:rsidP="003671B8">
      <w:pPr>
        <w:ind w:left="-851"/>
        <w:rPr>
          <w:rFonts w:ascii="Times New Roman" w:hAnsi="Times New Roman" w:cs="Times New Roman"/>
          <w:bCs/>
          <w:sz w:val="16"/>
          <w:szCs w:val="16"/>
        </w:rPr>
      </w:pPr>
      <w:r w:rsidRPr="00207C99">
        <w:rPr>
          <w:rFonts w:ascii="Times New Roman" w:hAnsi="Times New Roman" w:cs="Times New Roman"/>
          <w:bCs/>
          <w:sz w:val="16"/>
          <w:szCs w:val="16"/>
        </w:rPr>
        <w:t xml:space="preserve">                     </w:t>
      </w:r>
      <w:r w:rsidR="003671B8" w:rsidRPr="00B54150">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1C3A4D">
        <w:rPr>
          <w:rFonts w:ascii="Times New Roman" w:hAnsi="Times New Roman" w:cs="Times New Roman"/>
          <w:bCs/>
          <w:sz w:val="16"/>
          <w:szCs w:val="16"/>
        </w:rPr>
        <w:t>décembre</w:t>
      </w:r>
      <w:r w:rsidR="003671B8" w:rsidRPr="00B54150">
        <w:rPr>
          <w:rFonts w:ascii="Times New Roman" w:hAnsi="Times New Roman" w:cs="Times New Roman"/>
          <w:bCs/>
          <w:sz w:val="16"/>
          <w:szCs w:val="16"/>
        </w:rPr>
        <w:t xml:space="preserve"> 2020</w:t>
      </w:r>
    </w:p>
    <w:p w:rsidR="003671B8" w:rsidRDefault="003671B8" w:rsidP="00207C99"/>
    <w:p w:rsidR="003671B8"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Tableau 4 : IHP</w:t>
      </w:r>
      <w:r w:rsidR="00EA37C7">
        <w:rPr>
          <w:rFonts w:ascii="Times New Roman" w:hAnsi="Times New Roman" w:cs="Times New Roman"/>
          <w:b/>
          <w:sz w:val="24"/>
          <w:szCs w:val="24"/>
        </w:rPr>
        <w:t xml:space="preserve">C suivant les régions en </w:t>
      </w:r>
      <w:r w:rsidR="00397D09">
        <w:rPr>
          <w:rFonts w:ascii="Times New Roman" w:hAnsi="Times New Roman" w:cs="Times New Roman"/>
          <w:b/>
          <w:sz w:val="24"/>
          <w:szCs w:val="24"/>
        </w:rPr>
        <w:t>décembre</w:t>
      </w:r>
      <w:r w:rsidRPr="00EF65B5">
        <w:rPr>
          <w:rFonts w:ascii="Times New Roman" w:hAnsi="Times New Roman" w:cs="Times New Roman"/>
          <w:b/>
          <w:sz w:val="24"/>
          <w:szCs w:val="24"/>
        </w:rPr>
        <w:t xml:space="preserve"> 2020</w:t>
      </w:r>
    </w:p>
    <w:tbl>
      <w:tblPr>
        <w:tblW w:w="8554" w:type="dxa"/>
        <w:tblInd w:w="70" w:type="dxa"/>
        <w:tblCellMar>
          <w:left w:w="70" w:type="dxa"/>
          <w:right w:w="70" w:type="dxa"/>
        </w:tblCellMar>
        <w:tblLook w:val="04A0"/>
      </w:tblPr>
      <w:tblGrid>
        <w:gridCol w:w="1536"/>
        <w:gridCol w:w="712"/>
        <w:gridCol w:w="764"/>
        <w:gridCol w:w="860"/>
        <w:gridCol w:w="860"/>
        <w:gridCol w:w="763"/>
        <w:gridCol w:w="763"/>
        <w:gridCol w:w="766"/>
        <w:gridCol w:w="765"/>
        <w:gridCol w:w="765"/>
      </w:tblGrid>
      <w:tr w:rsidR="003671B8" w:rsidRPr="0080208F" w:rsidTr="003671B8">
        <w:trPr>
          <w:trHeight w:val="315"/>
        </w:trPr>
        <w:tc>
          <w:tcPr>
            <w:tcW w:w="1536" w:type="dxa"/>
            <w:tcBorders>
              <w:top w:val="double" w:sz="6" w:space="0" w:color="auto"/>
              <w:left w:val="nil"/>
              <w:bottom w:val="nil"/>
              <w:right w:val="nil"/>
            </w:tcBorders>
            <w:shd w:val="clear" w:color="000000" w:fill="00FFFF"/>
            <w:noWrap/>
            <w:vAlign w:val="bottom"/>
            <w:hideMark/>
          </w:tcPr>
          <w:p w:rsidR="003671B8" w:rsidRPr="0080208F" w:rsidRDefault="003671B8"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val="restart"/>
            <w:tcBorders>
              <w:top w:val="double" w:sz="6" w:space="0" w:color="auto"/>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Poids</w:t>
            </w:r>
          </w:p>
        </w:tc>
        <w:tc>
          <w:tcPr>
            <w:tcW w:w="4010" w:type="dxa"/>
            <w:gridSpan w:val="5"/>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Indice des mois de :</w:t>
            </w:r>
          </w:p>
        </w:tc>
        <w:tc>
          <w:tcPr>
            <w:tcW w:w="2296" w:type="dxa"/>
            <w:gridSpan w:val="3"/>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Variation depuis :</w:t>
            </w:r>
          </w:p>
        </w:tc>
      </w:tr>
      <w:tr w:rsidR="003671B8" w:rsidRPr="0080208F" w:rsidTr="003671B8">
        <w:trPr>
          <w:trHeight w:val="300"/>
        </w:trPr>
        <w:tc>
          <w:tcPr>
            <w:tcW w:w="1536" w:type="dxa"/>
            <w:vMerge w:val="restart"/>
            <w:tcBorders>
              <w:top w:val="nil"/>
              <w:left w:val="nil"/>
              <w:bottom w:val="nil"/>
              <w:right w:val="nil"/>
            </w:tcBorders>
            <w:shd w:val="clear" w:color="000000" w:fill="00FFFF"/>
            <w:hideMark/>
          </w:tcPr>
          <w:p w:rsidR="003671B8" w:rsidRPr="0080208F" w:rsidRDefault="003671B8"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tcBorders>
              <w:top w:val="double" w:sz="6" w:space="0" w:color="auto"/>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4" w:type="dxa"/>
            <w:vMerge w:val="restart"/>
            <w:tcBorders>
              <w:top w:val="nil"/>
              <w:left w:val="nil"/>
              <w:bottom w:val="nil"/>
              <w:right w:val="nil"/>
            </w:tcBorders>
            <w:shd w:val="clear" w:color="000000" w:fill="00FFFF"/>
            <w:vAlign w:val="bottom"/>
            <w:hideMark/>
          </w:tcPr>
          <w:p w:rsidR="003671B8" w:rsidRPr="0080208F" w:rsidRDefault="002C4BBA" w:rsidP="003671B8">
            <w:pPr>
              <w:rPr>
                <w:rFonts w:ascii="Times New Roman" w:hAnsi="Times New Roman" w:cs="Times New Roman"/>
                <w:b/>
                <w:bCs/>
                <w:sz w:val="18"/>
                <w:szCs w:val="18"/>
              </w:rPr>
            </w:pPr>
            <w:r>
              <w:rPr>
                <w:rFonts w:ascii="Times New Roman" w:hAnsi="Times New Roman" w:cs="Times New Roman"/>
                <w:b/>
                <w:bCs/>
                <w:sz w:val="18"/>
                <w:szCs w:val="18"/>
              </w:rPr>
              <w:t>déc</w:t>
            </w:r>
            <w:r w:rsidR="003671B8" w:rsidRPr="0080208F">
              <w:rPr>
                <w:rFonts w:ascii="Times New Roman" w:hAnsi="Times New Roman" w:cs="Times New Roman"/>
                <w:b/>
                <w:bCs/>
                <w:sz w:val="18"/>
                <w:szCs w:val="18"/>
              </w:rPr>
              <w:t>.-19</w:t>
            </w:r>
          </w:p>
        </w:tc>
        <w:tc>
          <w:tcPr>
            <w:tcW w:w="860" w:type="dxa"/>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860" w:type="dxa"/>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763" w:type="dxa"/>
            <w:vMerge w:val="restart"/>
            <w:tcBorders>
              <w:top w:val="nil"/>
              <w:left w:val="nil"/>
              <w:bottom w:val="nil"/>
              <w:right w:val="nil"/>
            </w:tcBorders>
            <w:shd w:val="clear" w:color="000000" w:fill="00FFFF"/>
            <w:vAlign w:val="bottom"/>
            <w:hideMark/>
          </w:tcPr>
          <w:p w:rsidR="003671B8" w:rsidRPr="0080208F" w:rsidRDefault="002C4BBA" w:rsidP="003671B8">
            <w:pPr>
              <w:jc w:val="center"/>
              <w:rPr>
                <w:rFonts w:ascii="Times New Roman" w:hAnsi="Times New Roman" w:cs="Times New Roman"/>
                <w:b/>
                <w:bCs/>
                <w:sz w:val="18"/>
                <w:szCs w:val="18"/>
              </w:rPr>
            </w:pPr>
            <w:r>
              <w:rPr>
                <w:rFonts w:ascii="Times New Roman" w:hAnsi="Times New Roman" w:cs="Times New Roman"/>
                <w:b/>
                <w:bCs/>
                <w:sz w:val="18"/>
                <w:szCs w:val="18"/>
              </w:rPr>
              <w:t>nov</w:t>
            </w:r>
            <w:r w:rsidR="00A55318" w:rsidRPr="0080208F">
              <w:rPr>
                <w:rFonts w:ascii="Times New Roman" w:hAnsi="Times New Roman" w:cs="Times New Roman"/>
                <w:b/>
                <w:bCs/>
                <w:sz w:val="18"/>
                <w:szCs w:val="18"/>
              </w:rPr>
              <w:t>.-20</w:t>
            </w:r>
          </w:p>
        </w:tc>
        <w:tc>
          <w:tcPr>
            <w:tcW w:w="763" w:type="dxa"/>
            <w:vMerge w:val="restart"/>
            <w:tcBorders>
              <w:top w:val="nil"/>
              <w:left w:val="nil"/>
              <w:bottom w:val="nil"/>
              <w:right w:val="nil"/>
            </w:tcBorders>
            <w:shd w:val="clear" w:color="000000" w:fill="00FFFF"/>
            <w:vAlign w:val="bottom"/>
            <w:hideMark/>
          </w:tcPr>
          <w:p w:rsidR="003671B8" w:rsidRPr="0080208F" w:rsidRDefault="002C4BBA"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003671B8" w:rsidRPr="0080208F">
              <w:rPr>
                <w:rFonts w:ascii="Times New Roman" w:hAnsi="Times New Roman" w:cs="Times New Roman"/>
                <w:b/>
                <w:bCs/>
                <w:sz w:val="18"/>
                <w:szCs w:val="18"/>
              </w:rPr>
              <w:t>.-20</w:t>
            </w:r>
          </w:p>
        </w:tc>
        <w:tc>
          <w:tcPr>
            <w:tcW w:w="766" w:type="dxa"/>
            <w:vMerge w:val="restart"/>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 mois</w:t>
            </w:r>
          </w:p>
        </w:tc>
        <w:tc>
          <w:tcPr>
            <w:tcW w:w="765" w:type="dxa"/>
            <w:vMerge w:val="restart"/>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3 mois</w:t>
            </w:r>
          </w:p>
        </w:tc>
        <w:tc>
          <w:tcPr>
            <w:tcW w:w="765" w:type="dxa"/>
            <w:vMerge w:val="restart"/>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12 mois</w:t>
            </w:r>
          </w:p>
        </w:tc>
      </w:tr>
      <w:tr w:rsidR="003671B8" w:rsidRPr="0080208F" w:rsidTr="003671B8">
        <w:trPr>
          <w:trHeight w:val="300"/>
        </w:trPr>
        <w:tc>
          <w:tcPr>
            <w:tcW w:w="1536"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sz w:val="18"/>
                <w:szCs w:val="18"/>
              </w:rPr>
            </w:pPr>
          </w:p>
        </w:tc>
        <w:tc>
          <w:tcPr>
            <w:tcW w:w="712" w:type="dxa"/>
            <w:vMerge/>
            <w:tcBorders>
              <w:top w:val="double" w:sz="6" w:space="0" w:color="auto"/>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4" w:type="dxa"/>
            <w:vMerge/>
            <w:tcBorders>
              <w:top w:val="nil"/>
              <w:left w:val="nil"/>
              <w:bottom w:val="nil"/>
              <w:right w:val="nil"/>
            </w:tcBorders>
            <w:vAlign w:val="bottom"/>
            <w:hideMark/>
          </w:tcPr>
          <w:p w:rsidR="003671B8" w:rsidRPr="0080208F" w:rsidRDefault="003671B8" w:rsidP="003671B8">
            <w:pPr>
              <w:rPr>
                <w:rFonts w:ascii="Times New Roman" w:hAnsi="Times New Roman" w:cs="Times New Roman"/>
                <w:b/>
                <w:bCs/>
                <w:sz w:val="18"/>
                <w:szCs w:val="18"/>
              </w:rPr>
            </w:pPr>
          </w:p>
        </w:tc>
        <w:tc>
          <w:tcPr>
            <w:tcW w:w="860" w:type="dxa"/>
            <w:tcBorders>
              <w:top w:val="nil"/>
              <w:left w:val="nil"/>
              <w:bottom w:val="nil"/>
              <w:right w:val="nil"/>
            </w:tcBorders>
            <w:shd w:val="clear" w:color="000000" w:fill="00FFFF"/>
            <w:vAlign w:val="bottom"/>
            <w:hideMark/>
          </w:tcPr>
          <w:p w:rsidR="003671B8" w:rsidRPr="0080208F" w:rsidRDefault="002C4BBA" w:rsidP="003671B8">
            <w:pPr>
              <w:jc w:val="center"/>
              <w:rPr>
                <w:rFonts w:ascii="Times New Roman" w:hAnsi="Times New Roman" w:cs="Times New Roman"/>
                <w:b/>
                <w:bCs/>
                <w:sz w:val="18"/>
                <w:szCs w:val="18"/>
              </w:rPr>
            </w:pPr>
            <w:r>
              <w:rPr>
                <w:rFonts w:ascii="Times New Roman" w:hAnsi="Times New Roman" w:cs="Times New Roman"/>
                <w:b/>
                <w:bCs/>
                <w:sz w:val="18"/>
                <w:szCs w:val="18"/>
              </w:rPr>
              <w:t>sept</w:t>
            </w:r>
            <w:r w:rsidR="00A55318" w:rsidRPr="0080208F">
              <w:rPr>
                <w:rFonts w:ascii="Times New Roman" w:hAnsi="Times New Roman" w:cs="Times New Roman"/>
                <w:b/>
                <w:bCs/>
                <w:sz w:val="18"/>
                <w:szCs w:val="18"/>
              </w:rPr>
              <w:t>-20</w:t>
            </w:r>
          </w:p>
        </w:tc>
        <w:tc>
          <w:tcPr>
            <w:tcW w:w="860" w:type="dxa"/>
            <w:tcBorders>
              <w:top w:val="nil"/>
              <w:left w:val="nil"/>
              <w:bottom w:val="nil"/>
              <w:right w:val="nil"/>
            </w:tcBorders>
            <w:shd w:val="clear" w:color="000000" w:fill="00FFFF"/>
            <w:vAlign w:val="bottom"/>
            <w:hideMark/>
          </w:tcPr>
          <w:p w:rsidR="003671B8" w:rsidRPr="0080208F" w:rsidRDefault="002C4BBA" w:rsidP="003671B8">
            <w:pPr>
              <w:jc w:val="center"/>
              <w:rPr>
                <w:rFonts w:ascii="Times New Roman" w:hAnsi="Times New Roman" w:cs="Times New Roman"/>
                <w:b/>
                <w:bCs/>
                <w:sz w:val="18"/>
                <w:szCs w:val="18"/>
              </w:rPr>
            </w:pPr>
            <w:r>
              <w:rPr>
                <w:rFonts w:ascii="Times New Roman" w:hAnsi="Times New Roman" w:cs="Times New Roman"/>
                <w:b/>
                <w:bCs/>
                <w:sz w:val="18"/>
                <w:szCs w:val="18"/>
              </w:rPr>
              <w:t>oct.</w:t>
            </w:r>
            <w:r w:rsidR="00A55318" w:rsidRPr="0080208F">
              <w:rPr>
                <w:rFonts w:ascii="Times New Roman" w:hAnsi="Times New Roman" w:cs="Times New Roman"/>
                <w:b/>
                <w:bCs/>
                <w:sz w:val="18"/>
                <w:szCs w:val="18"/>
              </w:rPr>
              <w:t>-20</w:t>
            </w:r>
          </w:p>
        </w:tc>
        <w:tc>
          <w:tcPr>
            <w:tcW w:w="763"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3"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6"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r>
      <w:tr w:rsidR="00207C99" w:rsidRPr="0080208F" w:rsidTr="003671B8">
        <w:trPr>
          <w:trHeight w:val="300"/>
        </w:trPr>
        <w:tc>
          <w:tcPr>
            <w:tcW w:w="1536" w:type="dxa"/>
            <w:tcBorders>
              <w:top w:val="nil"/>
              <w:left w:val="nil"/>
              <w:bottom w:val="nil"/>
              <w:right w:val="nil"/>
            </w:tcBorders>
            <w:shd w:val="clear" w:color="auto" w:fill="auto"/>
            <w:vAlign w:val="bottom"/>
            <w:hideMark/>
          </w:tcPr>
          <w:p w:rsidR="00207C99" w:rsidRPr="0080208F" w:rsidRDefault="00207C99" w:rsidP="003671B8">
            <w:pPr>
              <w:rPr>
                <w:rFonts w:ascii="Times New Roman" w:hAnsi="Times New Roman" w:cs="Times New Roman"/>
                <w:b/>
                <w:bCs/>
                <w:sz w:val="18"/>
                <w:szCs w:val="18"/>
              </w:rPr>
            </w:pPr>
            <w:r w:rsidRPr="0080208F">
              <w:rPr>
                <w:rFonts w:ascii="Times New Roman" w:hAnsi="Times New Roman" w:cs="Times New Roman"/>
                <w:b/>
                <w:bCs/>
                <w:sz w:val="18"/>
                <w:szCs w:val="18"/>
              </w:rPr>
              <w:t>INDICE GLOBAL</w:t>
            </w:r>
          </w:p>
        </w:tc>
        <w:tc>
          <w:tcPr>
            <w:tcW w:w="712" w:type="dxa"/>
            <w:tcBorders>
              <w:top w:val="nil"/>
              <w:left w:val="nil"/>
              <w:bottom w:val="nil"/>
              <w:right w:val="nil"/>
            </w:tcBorders>
            <w:shd w:val="clear" w:color="auto" w:fill="auto"/>
            <w:vAlign w:val="bottom"/>
            <w:hideMark/>
          </w:tcPr>
          <w:p w:rsidR="00207C99" w:rsidRPr="0080208F" w:rsidRDefault="00207C99"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100</w:t>
            </w:r>
          </w:p>
        </w:tc>
        <w:tc>
          <w:tcPr>
            <w:tcW w:w="764"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101,5</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104,5</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104,9</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104,4</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102,6</w:t>
            </w:r>
          </w:p>
        </w:tc>
        <w:tc>
          <w:tcPr>
            <w:tcW w:w="766" w:type="dxa"/>
            <w:tcBorders>
              <w:top w:val="nil"/>
              <w:left w:val="nil"/>
              <w:bottom w:val="nil"/>
              <w:right w:val="nil"/>
            </w:tcBorders>
            <w:shd w:val="clear" w:color="000000" w:fill="CCFFCC"/>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-1,7%</w:t>
            </w:r>
          </w:p>
        </w:tc>
        <w:tc>
          <w:tcPr>
            <w:tcW w:w="765" w:type="dxa"/>
            <w:tcBorders>
              <w:top w:val="nil"/>
              <w:left w:val="nil"/>
              <w:bottom w:val="nil"/>
              <w:right w:val="nil"/>
            </w:tcBorders>
            <w:shd w:val="clear" w:color="000000" w:fill="99CC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-1,8%</w:t>
            </w:r>
          </w:p>
        </w:tc>
        <w:tc>
          <w:tcPr>
            <w:tcW w:w="765" w:type="dxa"/>
            <w:tcBorders>
              <w:top w:val="nil"/>
              <w:left w:val="nil"/>
              <w:bottom w:val="nil"/>
              <w:right w:val="nil"/>
            </w:tcBorders>
            <w:shd w:val="clear" w:color="000000" w:fill="CC99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w:t>
            </w:r>
          </w:p>
        </w:tc>
      </w:tr>
      <w:tr w:rsidR="00207C99" w:rsidRPr="0080208F" w:rsidTr="003671B8">
        <w:trPr>
          <w:trHeight w:val="300"/>
        </w:trPr>
        <w:tc>
          <w:tcPr>
            <w:tcW w:w="1536" w:type="dxa"/>
            <w:tcBorders>
              <w:top w:val="nil"/>
              <w:left w:val="nil"/>
              <w:bottom w:val="nil"/>
              <w:right w:val="nil"/>
            </w:tcBorders>
            <w:shd w:val="clear" w:color="auto" w:fill="auto"/>
            <w:noWrap/>
            <w:vAlign w:val="bottom"/>
            <w:hideMark/>
          </w:tcPr>
          <w:p w:rsidR="00207C99" w:rsidRPr="0080208F" w:rsidRDefault="00207C99" w:rsidP="003671B8">
            <w:pPr>
              <w:rPr>
                <w:rFonts w:ascii="Times New Roman" w:hAnsi="Times New Roman" w:cs="Times New Roman"/>
                <w:sz w:val="18"/>
                <w:szCs w:val="18"/>
              </w:rPr>
            </w:pPr>
            <w:r w:rsidRPr="0080208F">
              <w:rPr>
                <w:rFonts w:ascii="Times New Roman" w:hAnsi="Times New Roman" w:cs="Times New Roman"/>
                <w:sz w:val="18"/>
                <w:szCs w:val="18"/>
              </w:rPr>
              <w:t>1. Sud ouest</w:t>
            </w:r>
          </w:p>
        </w:tc>
        <w:tc>
          <w:tcPr>
            <w:tcW w:w="712" w:type="dxa"/>
            <w:tcBorders>
              <w:top w:val="nil"/>
              <w:left w:val="nil"/>
              <w:bottom w:val="nil"/>
              <w:right w:val="nil"/>
            </w:tcBorders>
            <w:shd w:val="clear" w:color="auto" w:fill="auto"/>
            <w:vAlign w:val="bottom"/>
            <w:hideMark/>
          </w:tcPr>
          <w:p w:rsidR="00207C99" w:rsidRPr="0080208F" w:rsidRDefault="00207C99"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53</w:t>
            </w:r>
          </w:p>
        </w:tc>
        <w:tc>
          <w:tcPr>
            <w:tcW w:w="764"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101,5</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106,0</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106,2</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106,6</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105,0</w:t>
            </w:r>
          </w:p>
        </w:tc>
        <w:tc>
          <w:tcPr>
            <w:tcW w:w="766" w:type="dxa"/>
            <w:tcBorders>
              <w:top w:val="nil"/>
              <w:left w:val="nil"/>
              <w:bottom w:val="nil"/>
              <w:right w:val="nil"/>
            </w:tcBorders>
            <w:shd w:val="clear" w:color="000000" w:fill="CCFFCC"/>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-1,5%</w:t>
            </w:r>
          </w:p>
        </w:tc>
        <w:tc>
          <w:tcPr>
            <w:tcW w:w="765" w:type="dxa"/>
            <w:tcBorders>
              <w:top w:val="nil"/>
              <w:left w:val="nil"/>
              <w:bottom w:val="nil"/>
              <w:right w:val="nil"/>
            </w:tcBorders>
            <w:shd w:val="clear" w:color="000000" w:fill="99CC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-0,9%</w:t>
            </w:r>
          </w:p>
        </w:tc>
        <w:tc>
          <w:tcPr>
            <w:tcW w:w="765" w:type="dxa"/>
            <w:tcBorders>
              <w:top w:val="nil"/>
              <w:left w:val="nil"/>
              <w:bottom w:val="nil"/>
              <w:right w:val="nil"/>
            </w:tcBorders>
            <w:shd w:val="clear" w:color="000000" w:fill="CC99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3,4%</w:t>
            </w:r>
          </w:p>
        </w:tc>
      </w:tr>
      <w:tr w:rsidR="00207C99" w:rsidRPr="0080208F" w:rsidTr="003671B8">
        <w:trPr>
          <w:trHeight w:val="300"/>
        </w:trPr>
        <w:tc>
          <w:tcPr>
            <w:tcW w:w="1536" w:type="dxa"/>
            <w:tcBorders>
              <w:top w:val="nil"/>
              <w:left w:val="nil"/>
              <w:bottom w:val="nil"/>
              <w:right w:val="nil"/>
            </w:tcBorders>
            <w:shd w:val="clear" w:color="auto" w:fill="auto"/>
            <w:noWrap/>
            <w:vAlign w:val="bottom"/>
            <w:hideMark/>
          </w:tcPr>
          <w:p w:rsidR="00207C99" w:rsidRPr="0080208F" w:rsidRDefault="00207C99" w:rsidP="003671B8">
            <w:pPr>
              <w:rPr>
                <w:rFonts w:ascii="Times New Roman" w:hAnsi="Times New Roman" w:cs="Times New Roman"/>
                <w:sz w:val="18"/>
                <w:szCs w:val="18"/>
              </w:rPr>
            </w:pPr>
            <w:r w:rsidRPr="0080208F">
              <w:rPr>
                <w:rFonts w:ascii="Times New Roman" w:hAnsi="Times New Roman" w:cs="Times New Roman"/>
                <w:sz w:val="18"/>
                <w:szCs w:val="18"/>
              </w:rPr>
              <w:t>2. Sud est</w:t>
            </w:r>
          </w:p>
        </w:tc>
        <w:tc>
          <w:tcPr>
            <w:tcW w:w="712" w:type="dxa"/>
            <w:tcBorders>
              <w:top w:val="nil"/>
              <w:left w:val="nil"/>
              <w:bottom w:val="nil"/>
              <w:right w:val="nil"/>
            </w:tcBorders>
            <w:shd w:val="clear" w:color="auto" w:fill="auto"/>
            <w:vAlign w:val="bottom"/>
            <w:hideMark/>
          </w:tcPr>
          <w:p w:rsidR="00207C99" w:rsidRPr="0080208F" w:rsidRDefault="00207C99"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22</w:t>
            </w:r>
          </w:p>
        </w:tc>
        <w:tc>
          <w:tcPr>
            <w:tcW w:w="764"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101,0</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101,8</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102,7</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101,2</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100,4</w:t>
            </w:r>
          </w:p>
        </w:tc>
        <w:tc>
          <w:tcPr>
            <w:tcW w:w="766" w:type="dxa"/>
            <w:tcBorders>
              <w:top w:val="nil"/>
              <w:left w:val="nil"/>
              <w:bottom w:val="nil"/>
              <w:right w:val="nil"/>
            </w:tcBorders>
            <w:shd w:val="clear" w:color="000000" w:fill="CCFFCC"/>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-0,8%</w:t>
            </w:r>
          </w:p>
        </w:tc>
        <w:tc>
          <w:tcPr>
            <w:tcW w:w="765" w:type="dxa"/>
            <w:tcBorders>
              <w:top w:val="nil"/>
              <w:left w:val="nil"/>
              <w:bottom w:val="nil"/>
              <w:right w:val="nil"/>
            </w:tcBorders>
            <w:shd w:val="clear" w:color="000000" w:fill="99CC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-1,4%</w:t>
            </w:r>
          </w:p>
        </w:tc>
        <w:tc>
          <w:tcPr>
            <w:tcW w:w="765" w:type="dxa"/>
            <w:tcBorders>
              <w:top w:val="nil"/>
              <w:left w:val="nil"/>
              <w:bottom w:val="nil"/>
              <w:right w:val="nil"/>
            </w:tcBorders>
            <w:shd w:val="clear" w:color="000000" w:fill="CC99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-0,6%</w:t>
            </w:r>
          </w:p>
        </w:tc>
      </w:tr>
      <w:tr w:rsidR="00207C99" w:rsidRPr="0080208F" w:rsidTr="003671B8">
        <w:trPr>
          <w:trHeight w:val="300"/>
        </w:trPr>
        <w:tc>
          <w:tcPr>
            <w:tcW w:w="1536" w:type="dxa"/>
            <w:tcBorders>
              <w:top w:val="nil"/>
              <w:left w:val="nil"/>
              <w:bottom w:val="nil"/>
              <w:right w:val="nil"/>
            </w:tcBorders>
            <w:shd w:val="clear" w:color="auto" w:fill="auto"/>
            <w:noWrap/>
            <w:vAlign w:val="bottom"/>
            <w:hideMark/>
          </w:tcPr>
          <w:p w:rsidR="00207C99" w:rsidRPr="0080208F" w:rsidRDefault="00207C99" w:rsidP="003671B8">
            <w:pPr>
              <w:rPr>
                <w:rFonts w:ascii="Times New Roman" w:hAnsi="Times New Roman" w:cs="Times New Roman"/>
                <w:sz w:val="18"/>
                <w:szCs w:val="18"/>
              </w:rPr>
            </w:pPr>
            <w:r w:rsidRPr="0080208F">
              <w:rPr>
                <w:rFonts w:ascii="Times New Roman" w:hAnsi="Times New Roman" w:cs="Times New Roman"/>
                <w:sz w:val="18"/>
                <w:szCs w:val="18"/>
              </w:rPr>
              <w:t>3. Centre</w:t>
            </w:r>
          </w:p>
        </w:tc>
        <w:tc>
          <w:tcPr>
            <w:tcW w:w="712" w:type="dxa"/>
            <w:tcBorders>
              <w:top w:val="nil"/>
              <w:left w:val="nil"/>
              <w:bottom w:val="nil"/>
              <w:right w:val="nil"/>
            </w:tcBorders>
            <w:shd w:val="clear" w:color="auto" w:fill="auto"/>
            <w:vAlign w:val="bottom"/>
            <w:hideMark/>
          </w:tcPr>
          <w:p w:rsidR="00207C99" w:rsidRPr="0080208F" w:rsidRDefault="00207C99"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w:t>
            </w:r>
          </w:p>
        </w:tc>
        <w:tc>
          <w:tcPr>
            <w:tcW w:w="764"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98,0</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100,3</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100,9</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101,0</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100,0</w:t>
            </w:r>
          </w:p>
        </w:tc>
        <w:tc>
          <w:tcPr>
            <w:tcW w:w="766" w:type="dxa"/>
            <w:tcBorders>
              <w:top w:val="nil"/>
              <w:left w:val="nil"/>
              <w:bottom w:val="nil"/>
              <w:right w:val="nil"/>
            </w:tcBorders>
            <w:shd w:val="clear" w:color="000000" w:fill="CCFFCC"/>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w:t>
            </w:r>
          </w:p>
        </w:tc>
        <w:tc>
          <w:tcPr>
            <w:tcW w:w="765" w:type="dxa"/>
            <w:tcBorders>
              <w:top w:val="nil"/>
              <w:left w:val="nil"/>
              <w:bottom w:val="nil"/>
              <w:right w:val="nil"/>
            </w:tcBorders>
            <w:shd w:val="clear" w:color="000000" w:fill="99CC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-0,3%</w:t>
            </w:r>
          </w:p>
        </w:tc>
        <w:tc>
          <w:tcPr>
            <w:tcW w:w="765" w:type="dxa"/>
            <w:tcBorders>
              <w:top w:val="nil"/>
              <w:left w:val="nil"/>
              <w:bottom w:val="nil"/>
              <w:right w:val="nil"/>
            </w:tcBorders>
            <w:shd w:val="clear" w:color="000000" w:fill="CC99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2,0%</w:t>
            </w:r>
          </w:p>
        </w:tc>
      </w:tr>
      <w:tr w:rsidR="00207C99" w:rsidRPr="0080208F" w:rsidTr="003671B8">
        <w:trPr>
          <w:trHeight w:val="300"/>
        </w:trPr>
        <w:tc>
          <w:tcPr>
            <w:tcW w:w="1536" w:type="dxa"/>
            <w:tcBorders>
              <w:top w:val="nil"/>
              <w:left w:val="nil"/>
              <w:bottom w:val="nil"/>
              <w:right w:val="nil"/>
            </w:tcBorders>
            <w:shd w:val="clear" w:color="auto" w:fill="auto"/>
            <w:noWrap/>
            <w:vAlign w:val="bottom"/>
            <w:hideMark/>
          </w:tcPr>
          <w:p w:rsidR="00207C99" w:rsidRPr="0080208F" w:rsidRDefault="00207C99" w:rsidP="003671B8">
            <w:pPr>
              <w:rPr>
                <w:rFonts w:ascii="Times New Roman" w:hAnsi="Times New Roman" w:cs="Times New Roman"/>
                <w:sz w:val="18"/>
                <w:szCs w:val="18"/>
              </w:rPr>
            </w:pPr>
            <w:r w:rsidRPr="0080208F">
              <w:rPr>
                <w:rFonts w:ascii="Times New Roman" w:hAnsi="Times New Roman" w:cs="Times New Roman"/>
                <w:sz w:val="18"/>
                <w:szCs w:val="18"/>
              </w:rPr>
              <w:t>4. Nord est</w:t>
            </w:r>
          </w:p>
        </w:tc>
        <w:tc>
          <w:tcPr>
            <w:tcW w:w="712" w:type="dxa"/>
            <w:tcBorders>
              <w:top w:val="nil"/>
              <w:left w:val="nil"/>
              <w:bottom w:val="nil"/>
              <w:right w:val="nil"/>
            </w:tcBorders>
            <w:shd w:val="clear" w:color="auto" w:fill="auto"/>
            <w:vAlign w:val="bottom"/>
            <w:hideMark/>
          </w:tcPr>
          <w:p w:rsidR="00207C99" w:rsidRPr="0080208F" w:rsidRDefault="00207C99"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9</w:t>
            </w:r>
          </w:p>
        </w:tc>
        <w:tc>
          <w:tcPr>
            <w:tcW w:w="764"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110,3</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114,5</w:t>
            </w:r>
          </w:p>
        </w:tc>
        <w:tc>
          <w:tcPr>
            <w:tcW w:w="860"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115,1</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110,4</w:t>
            </w:r>
          </w:p>
        </w:tc>
        <w:tc>
          <w:tcPr>
            <w:tcW w:w="763" w:type="dxa"/>
            <w:tcBorders>
              <w:top w:val="nil"/>
              <w:left w:val="nil"/>
              <w:bottom w:val="nil"/>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108,5</w:t>
            </w:r>
          </w:p>
        </w:tc>
        <w:tc>
          <w:tcPr>
            <w:tcW w:w="766" w:type="dxa"/>
            <w:tcBorders>
              <w:top w:val="nil"/>
              <w:left w:val="nil"/>
              <w:bottom w:val="nil"/>
              <w:right w:val="nil"/>
            </w:tcBorders>
            <w:shd w:val="clear" w:color="000000" w:fill="CCFFCC"/>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-1,7%</w:t>
            </w:r>
          </w:p>
        </w:tc>
        <w:tc>
          <w:tcPr>
            <w:tcW w:w="765" w:type="dxa"/>
            <w:tcBorders>
              <w:top w:val="nil"/>
              <w:left w:val="nil"/>
              <w:bottom w:val="nil"/>
              <w:right w:val="nil"/>
            </w:tcBorders>
            <w:shd w:val="clear" w:color="000000" w:fill="99CC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-5,2%</w:t>
            </w:r>
          </w:p>
        </w:tc>
        <w:tc>
          <w:tcPr>
            <w:tcW w:w="765" w:type="dxa"/>
            <w:tcBorders>
              <w:top w:val="nil"/>
              <w:left w:val="nil"/>
              <w:bottom w:val="nil"/>
              <w:right w:val="nil"/>
            </w:tcBorders>
            <w:shd w:val="clear" w:color="000000" w:fill="CC99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-1,6%</w:t>
            </w:r>
          </w:p>
        </w:tc>
      </w:tr>
      <w:tr w:rsidR="00207C99" w:rsidRPr="0080208F" w:rsidTr="003671B8">
        <w:trPr>
          <w:trHeight w:val="315"/>
        </w:trPr>
        <w:tc>
          <w:tcPr>
            <w:tcW w:w="1536" w:type="dxa"/>
            <w:tcBorders>
              <w:top w:val="nil"/>
              <w:left w:val="nil"/>
              <w:bottom w:val="double" w:sz="6" w:space="0" w:color="auto"/>
              <w:right w:val="nil"/>
            </w:tcBorders>
            <w:shd w:val="clear" w:color="auto" w:fill="auto"/>
            <w:noWrap/>
            <w:vAlign w:val="bottom"/>
            <w:hideMark/>
          </w:tcPr>
          <w:p w:rsidR="00207C99" w:rsidRPr="0080208F" w:rsidRDefault="00207C99" w:rsidP="003671B8">
            <w:pPr>
              <w:rPr>
                <w:rFonts w:ascii="Times New Roman" w:hAnsi="Times New Roman" w:cs="Times New Roman"/>
                <w:sz w:val="18"/>
                <w:szCs w:val="18"/>
              </w:rPr>
            </w:pPr>
            <w:r w:rsidRPr="0080208F">
              <w:rPr>
                <w:rFonts w:ascii="Times New Roman" w:hAnsi="Times New Roman" w:cs="Times New Roman"/>
                <w:sz w:val="18"/>
                <w:szCs w:val="18"/>
              </w:rPr>
              <w:t>5. Nord ouest</w:t>
            </w:r>
          </w:p>
        </w:tc>
        <w:tc>
          <w:tcPr>
            <w:tcW w:w="712" w:type="dxa"/>
            <w:tcBorders>
              <w:top w:val="nil"/>
              <w:left w:val="nil"/>
              <w:bottom w:val="double" w:sz="6" w:space="0" w:color="auto"/>
              <w:right w:val="nil"/>
            </w:tcBorders>
            <w:shd w:val="clear" w:color="auto" w:fill="auto"/>
            <w:noWrap/>
            <w:vAlign w:val="bottom"/>
            <w:hideMark/>
          </w:tcPr>
          <w:p w:rsidR="00207C99" w:rsidRPr="0080208F" w:rsidRDefault="00207C99" w:rsidP="003671B8">
            <w:pPr>
              <w:jc w:val="right"/>
              <w:rPr>
                <w:rFonts w:ascii="Times New Roman" w:hAnsi="Times New Roman" w:cs="Times New Roman"/>
                <w:b/>
                <w:sz w:val="18"/>
                <w:szCs w:val="18"/>
              </w:rPr>
            </w:pPr>
            <w:r w:rsidRPr="0080208F">
              <w:rPr>
                <w:rFonts w:ascii="Times New Roman" w:hAnsi="Times New Roman" w:cs="Times New Roman"/>
                <w:b/>
                <w:sz w:val="18"/>
                <w:szCs w:val="18"/>
              </w:rPr>
              <w:t>6</w:t>
            </w:r>
          </w:p>
        </w:tc>
        <w:tc>
          <w:tcPr>
            <w:tcW w:w="764" w:type="dxa"/>
            <w:tcBorders>
              <w:top w:val="nil"/>
              <w:left w:val="nil"/>
              <w:bottom w:val="double" w:sz="6" w:space="0" w:color="auto"/>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96,7</w:t>
            </w:r>
          </w:p>
        </w:tc>
        <w:tc>
          <w:tcPr>
            <w:tcW w:w="860" w:type="dxa"/>
            <w:tcBorders>
              <w:top w:val="nil"/>
              <w:left w:val="nil"/>
              <w:bottom w:val="double" w:sz="6" w:space="0" w:color="auto"/>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94,0</w:t>
            </w:r>
          </w:p>
        </w:tc>
        <w:tc>
          <w:tcPr>
            <w:tcW w:w="860" w:type="dxa"/>
            <w:tcBorders>
              <w:top w:val="nil"/>
              <w:left w:val="nil"/>
              <w:bottom w:val="double" w:sz="6" w:space="0" w:color="auto"/>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94,0</w:t>
            </w:r>
          </w:p>
        </w:tc>
        <w:tc>
          <w:tcPr>
            <w:tcW w:w="763" w:type="dxa"/>
            <w:tcBorders>
              <w:top w:val="nil"/>
              <w:left w:val="nil"/>
              <w:bottom w:val="double" w:sz="6" w:space="0" w:color="auto"/>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93,4</w:t>
            </w:r>
          </w:p>
        </w:tc>
        <w:tc>
          <w:tcPr>
            <w:tcW w:w="763" w:type="dxa"/>
            <w:tcBorders>
              <w:top w:val="nil"/>
              <w:left w:val="nil"/>
              <w:bottom w:val="double" w:sz="6" w:space="0" w:color="auto"/>
              <w:right w:val="nil"/>
            </w:tcBorders>
            <w:shd w:val="clear" w:color="auto" w:fill="auto"/>
            <w:noWrap/>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92,9</w:t>
            </w:r>
          </w:p>
        </w:tc>
        <w:tc>
          <w:tcPr>
            <w:tcW w:w="766" w:type="dxa"/>
            <w:tcBorders>
              <w:top w:val="nil"/>
              <w:left w:val="nil"/>
              <w:bottom w:val="double" w:sz="6" w:space="0" w:color="auto"/>
              <w:right w:val="nil"/>
            </w:tcBorders>
            <w:shd w:val="clear" w:color="000000" w:fill="CCFFCC"/>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-0,5%</w:t>
            </w:r>
          </w:p>
        </w:tc>
        <w:tc>
          <w:tcPr>
            <w:tcW w:w="765" w:type="dxa"/>
            <w:tcBorders>
              <w:top w:val="nil"/>
              <w:left w:val="nil"/>
              <w:bottom w:val="double" w:sz="6" w:space="0" w:color="auto"/>
              <w:right w:val="nil"/>
            </w:tcBorders>
            <w:shd w:val="clear" w:color="000000" w:fill="99CC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-1,2%</w:t>
            </w:r>
          </w:p>
        </w:tc>
        <w:tc>
          <w:tcPr>
            <w:tcW w:w="765" w:type="dxa"/>
            <w:tcBorders>
              <w:top w:val="nil"/>
              <w:left w:val="nil"/>
              <w:bottom w:val="double" w:sz="6" w:space="0" w:color="auto"/>
              <w:right w:val="nil"/>
            </w:tcBorders>
            <w:shd w:val="clear" w:color="000000" w:fill="CC99FF"/>
            <w:vAlign w:val="bottom"/>
            <w:hideMark/>
          </w:tcPr>
          <w:p w:rsidR="00207C99" w:rsidRPr="00207C99" w:rsidRDefault="00207C99">
            <w:pPr>
              <w:jc w:val="right"/>
              <w:rPr>
                <w:rFonts w:ascii="Times New Roman" w:hAnsi="Times New Roman" w:cs="Times New Roman"/>
                <w:sz w:val="18"/>
                <w:szCs w:val="18"/>
              </w:rPr>
            </w:pPr>
            <w:r w:rsidRPr="00207C99">
              <w:rPr>
                <w:rFonts w:ascii="Times New Roman" w:hAnsi="Times New Roman" w:cs="Times New Roman"/>
                <w:sz w:val="18"/>
                <w:szCs w:val="18"/>
              </w:rPr>
              <w:t>-3,9%</w:t>
            </w:r>
          </w:p>
        </w:tc>
      </w:tr>
    </w:tbl>
    <w:p w:rsidR="003671B8" w:rsidRPr="00583FBC" w:rsidRDefault="003671B8" w:rsidP="003671B8">
      <w:pPr>
        <w:rPr>
          <w:rFonts w:ascii="Times New Roman" w:hAnsi="Times New Roman" w:cs="Times New Roman"/>
          <w:bCs/>
          <w:sz w:val="16"/>
          <w:szCs w:val="16"/>
        </w:rPr>
      </w:pPr>
      <w:r w:rsidRPr="00583FBC">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1C3A4D">
        <w:rPr>
          <w:rFonts w:ascii="Times New Roman" w:hAnsi="Times New Roman" w:cs="Times New Roman"/>
          <w:bCs/>
          <w:sz w:val="16"/>
          <w:szCs w:val="16"/>
        </w:rPr>
        <w:t>décembre</w:t>
      </w:r>
      <w:r w:rsidRPr="00583FBC">
        <w:rPr>
          <w:rFonts w:ascii="Times New Roman" w:hAnsi="Times New Roman" w:cs="Times New Roman"/>
          <w:bCs/>
          <w:sz w:val="16"/>
          <w:szCs w:val="16"/>
        </w:rPr>
        <w:t xml:space="preserve"> 2020</w:t>
      </w:r>
    </w:p>
    <w:p w:rsidR="003671B8" w:rsidRDefault="003671B8" w:rsidP="003671B8"/>
    <w:p w:rsidR="003671B8" w:rsidRDefault="003671B8" w:rsidP="003671B8">
      <w:pPr>
        <w:jc w:val="both"/>
        <w:rPr>
          <w:b/>
          <w:bCs/>
          <w:i/>
          <w:iCs/>
        </w:rPr>
      </w:pPr>
    </w:p>
    <w:p w:rsidR="003671B8" w:rsidRDefault="003671B8" w:rsidP="003671B8">
      <w:pPr>
        <w:jc w:val="both"/>
        <w:rPr>
          <w:b/>
          <w:bCs/>
          <w:i/>
          <w:iCs/>
        </w:rPr>
      </w:pPr>
    </w:p>
    <w:p w:rsidR="003671B8" w:rsidRDefault="003671B8" w:rsidP="003671B8">
      <w:pPr>
        <w:jc w:val="both"/>
        <w:rPr>
          <w:b/>
          <w:bCs/>
          <w:i/>
          <w:iCs/>
        </w:rPr>
      </w:pPr>
    </w:p>
    <w:p w:rsidR="003671B8" w:rsidRDefault="003671B8" w:rsidP="003671B8">
      <w:pPr>
        <w:jc w:val="both"/>
        <w:rPr>
          <w:b/>
          <w:bCs/>
          <w:i/>
          <w:iCs/>
        </w:rPr>
      </w:pPr>
    </w:p>
    <w:p w:rsidR="003671B8" w:rsidRDefault="003671B8" w:rsidP="003671B8">
      <w:pPr>
        <w:jc w:val="both"/>
        <w:rPr>
          <w:b/>
          <w:bCs/>
          <w:i/>
          <w:iCs/>
        </w:rPr>
      </w:pPr>
    </w:p>
    <w:p w:rsidR="003671B8" w:rsidRDefault="003671B8" w:rsidP="003671B8">
      <w:pPr>
        <w:jc w:val="both"/>
        <w:rPr>
          <w:b/>
          <w:bCs/>
          <w:i/>
          <w:iCs/>
        </w:rPr>
      </w:pPr>
    </w:p>
    <w:p w:rsidR="0062689B" w:rsidRDefault="0062689B" w:rsidP="00EF65B5">
      <w:pPr>
        <w:rPr>
          <w:b/>
          <w:bCs/>
          <w:i/>
          <w:iCs/>
        </w:rPr>
      </w:pPr>
    </w:p>
    <w:p w:rsidR="0062689B" w:rsidRPr="0062689B" w:rsidRDefault="0062689B" w:rsidP="0062689B"/>
    <w:p w:rsidR="0062689B" w:rsidRPr="0062689B" w:rsidRDefault="0062689B" w:rsidP="0062689B"/>
    <w:p w:rsidR="0062689B" w:rsidRPr="0062689B" w:rsidRDefault="0062689B" w:rsidP="0062689B"/>
    <w:p w:rsidR="0062689B" w:rsidRDefault="0062689B" w:rsidP="00EF65B5"/>
    <w:p w:rsidR="0062689B" w:rsidRDefault="0062689B" w:rsidP="0062689B">
      <w:pPr>
        <w:tabs>
          <w:tab w:val="left" w:pos="7910"/>
        </w:tabs>
      </w:pPr>
      <w:r>
        <w:tab/>
      </w:r>
    </w:p>
    <w:p w:rsidR="003671B8" w:rsidRPr="00324CD7" w:rsidRDefault="003671B8" w:rsidP="00EF65B5">
      <w:pPr>
        <w:rPr>
          <w:b/>
          <w:bCs/>
          <w:i/>
          <w:iCs/>
        </w:rPr>
      </w:pPr>
      <w:r w:rsidRPr="0062689B">
        <w:br w:type="page"/>
      </w:r>
      <w:r w:rsidRPr="00EF65B5">
        <w:rPr>
          <w:rFonts w:ascii="Times New Roman" w:hAnsi="Times New Roman" w:cs="Times New Roman"/>
          <w:b/>
          <w:sz w:val="24"/>
          <w:szCs w:val="24"/>
        </w:rPr>
        <w:lastRenderedPageBreak/>
        <w:t xml:space="preserve">Tableau 5 : Prix moyens (en F.CFA) de certains produits de première nécessité dans </w:t>
      </w:r>
      <w:r w:rsidR="00EA37C7">
        <w:rPr>
          <w:rFonts w:ascii="Times New Roman" w:hAnsi="Times New Roman" w:cs="Times New Roman"/>
          <w:b/>
          <w:sz w:val="24"/>
          <w:szCs w:val="24"/>
        </w:rPr>
        <w:t xml:space="preserve">les grandes villes en </w:t>
      </w:r>
      <w:r w:rsidR="00207C99">
        <w:rPr>
          <w:rFonts w:ascii="Times New Roman" w:hAnsi="Times New Roman" w:cs="Times New Roman"/>
          <w:b/>
          <w:sz w:val="24"/>
          <w:szCs w:val="24"/>
        </w:rPr>
        <w:t>novembre</w:t>
      </w:r>
      <w:r w:rsidRPr="00EF65B5">
        <w:rPr>
          <w:rFonts w:ascii="Times New Roman" w:hAnsi="Times New Roman" w:cs="Times New Roman"/>
          <w:b/>
          <w:sz w:val="24"/>
          <w:szCs w:val="24"/>
        </w:rPr>
        <w:t xml:space="preserve"> 2020</w:t>
      </w:r>
    </w:p>
    <w:tbl>
      <w:tblPr>
        <w:tblW w:w="10393" w:type="dxa"/>
        <w:tblInd w:w="56" w:type="dxa"/>
        <w:tblLayout w:type="fixed"/>
        <w:tblCellMar>
          <w:left w:w="70" w:type="dxa"/>
          <w:right w:w="70" w:type="dxa"/>
        </w:tblCellMar>
        <w:tblLook w:val="04A0"/>
      </w:tblPr>
      <w:tblGrid>
        <w:gridCol w:w="3535"/>
        <w:gridCol w:w="992"/>
        <w:gridCol w:w="992"/>
        <w:gridCol w:w="1011"/>
        <w:gridCol w:w="992"/>
        <w:gridCol w:w="910"/>
        <w:gridCol w:w="991"/>
        <w:gridCol w:w="970"/>
      </w:tblGrid>
      <w:tr w:rsidR="00207C99" w:rsidRPr="0058147B" w:rsidTr="00BF08E4">
        <w:trPr>
          <w:trHeight w:val="375"/>
        </w:trPr>
        <w:tc>
          <w:tcPr>
            <w:tcW w:w="3535"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207C99" w:rsidRPr="0058147B" w:rsidRDefault="00207C99" w:rsidP="00BF08E4">
            <w:pP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Produits</w:t>
            </w:r>
          </w:p>
        </w:tc>
        <w:tc>
          <w:tcPr>
            <w:tcW w:w="5888" w:type="dxa"/>
            <w:gridSpan w:val="6"/>
            <w:tcBorders>
              <w:top w:val="single" w:sz="8" w:space="0" w:color="auto"/>
              <w:left w:val="nil"/>
              <w:bottom w:val="single" w:sz="8" w:space="0" w:color="auto"/>
              <w:right w:val="single" w:sz="8" w:space="0" w:color="auto"/>
            </w:tcBorders>
            <w:shd w:val="clear" w:color="000000" w:fill="DBE5F1"/>
            <w:vAlign w:val="bottom"/>
            <w:hideMark/>
          </w:tcPr>
          <w:p w:rsidR="00207C99" w:rsidRPr="0058147B" w:rsidRDefault="00207C99" w:rsidP="00BF08E4">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Les principales villes</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7C99" w:rsidRPr="0058147B" w:rsidRDefault="00207C99" w:rsidP="00BF08E4">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 xml:space="preserve">Prix moyen </w:t>
            </w:r>
          </w:p>
        </w:tc>
      </w:tr>
      <w:tr w:rsidR="00207C99" w:rsidRPr="0058147B" w:rsidTr="00BF08E4">
        <w:trPr>
          <w:trHeight w:val="585"/>
        </w:trPr>
        <w:tc>
          <w:tcPr>
            <w:tcW w:w="3535" w:type="dxa"/>
            <w:vMerge/>
            <w:tcBorders>
              <w:top w:val="single" w:sz="8" w:space="0" w:color="auto"/>
              <w:left w:val="single" w:sz="8" w:space="0" w:color="auto"/>
              <w:bottom w:val="single" w:sz="8" w:space="0" w:color="000000"/>
              <w:right w:val="single" w:sz="8" w:space="0" w:color="auto"/>
            </w:tcBorders>
            <w:vAlign w:val="center"/>
            <w:hideMark/>
          </w:tcPr>
          <w:p w:rsidR="00207C99" w:rsidRPr="0058147B" w:rsidRDefault="00207C99" w:rsidP="00BF08E4">
            <w:pPr>
              <w:rPr>
                <w:rFonts w:ascii="Times New Roman" w:hAnsi="Times New Roman" w:cs="Times New Roman"/>
                <w:b/>
                <w:bCs/>
                <w:color w:val="000000"/>
                <w:sz w:val="18"/>
                <w:szCs w:val="18"/>
              </w:rPr>
            </w:pPr>
          </w:p>
        </w:tc>
        <w:tc>
          <w:tcPr>
            <w:tcW w:w="992" w:type="dxa"/>
            <w:tcBorders>
              <w:top w:val="nil"/>
              <w:left w:val="nil"/>
              <w:bottom w:val="single" w:sz="8" w:space="0" w:color="auto"/>
              <w:right w:val="single" w:sz="8" w:space="0" w:color="auto"/>
            </w:tcBorders>
            <w:shd w:val="clear" w:color="000000" w:fill="FBD4B4"/>
            <w:vAlign w:val="center"/>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Cotonou</w:t>
            </w:r>
          </w:p>
        </w:tc>
        <w:tc>
          <w:tcPr>
            <w:tcW w:w="992" w:type="dxa"/>
            <w:tcBorders>
              <w:top w:val="nil"/>
              <w:left w:val="nil"/>
              <w:bottom w:val="single" w:sz="8" w:space="0" w:color="auto"/>
              <w:right w:val="single" w:sz="8" w:space="0" w:color="auto"/>
            </w:tcBorders>
            <w:shd w:val="clear" w:color="000000" w:fill="FBD4B4"/>
            <w:vAlign w:val="center"/>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Porto-Novo</w:t>
            </w:r>
          </w:p>
        </w:tc>
        <w:tc>
          <w:tcPr>
            <w:tcW w:w="1011" w:type="dxa"/>
            <w:tcBorders>
              <w:top w:val="nil"/>
              <w:left w:val="nil"/>
              <w:bottom w:val="single" w:sz="8" w:space="0" w:color="auto"/>
              <w:right w:val="single" w:sz="8" w:space="0" w:color="auto"/>
            </w:tcBorders>
            <w:shd w:val="clear" w:color="000000" w:fill="FBD4B4"/>
            <w:vAlign w:val="center"/>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Parakou</w:t>
            </w:r>
          </w:p>
        </w:tc>
        <w:tc>
          <w:tcPr>
            <w:tcW w:w="992" w:type="dxa"/>
            <w:tcBorders>
              <w:top w:val="nil"/>
              <w:left w:val="nil"/>
              <w:bottom w:val="single" w:sz="8" w:space="0" w:color="auto"/>
              <w:right w:val="single" w:sz="8" w:space="0" w:color="auto"/>
            </w:tcBorders>
            <w:shd w:val="clear" w:color="000000" w:fill="FBD4B4"/>
            <w:vAlign w:val="center"/>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Natitingou</w:t>
            </w:r>
          </w:p>
        </w:tc>
        <w:tc>
          <w:tcPr>
            <w:tcW w:w="910" w:type="dxa"/>
            <w:tcBorders>
              <w:top w:val="nil"/>
              <w:left w:val="nil"/>
              <w:bottom w:val="single" w:sz="8" w:space="0" w:color="auto"/>
              <w:right w:val="single" w:sz="8" w:space="0" w:color="auto"/>
            </w:tcBorders>
            <w:shd w:val="clear" w:color="000000" w:fill="FBD4B4"/>
            <w:vAlign w:val="center"/>
            <w:hideMark/>
          </w:tcPr>
          <w:p w:rsidR="00207C99" w:rsidRPr="0058147B" w:rsidRDefault="00207C99" w:rsidP="00BF08E4">
            <w:pPr>
              <w:rPr>
                <w:rFonts w:ascii="Times New Roman" w:hAnsi="Times New Roman" w:cs="Times New Roman"/>
                <w:color w:val="000000"/>
                <w:sz w:val="18"/>
                <w:szCs w:val="18"/>
              </w:rPr>
            </w:pPr>
            <w:bookmarkStart w:id="0" w:name="RANGE!F5"/>
            <w:r w:rsidRPr="0058147B">
              <w:rPr>
                <w:rFonts w:ascii="Times New Roman" w:hAnsi="Times New Roman" w:cs="Times New Roman"/>
                <w:color w:val="000000"/>
                <w:sz w:val="18"/>
                <w:szCs w:val="18"/>
              </w:rPr>
              <w:t>Bohicon</w:t>
            </w:r>
            <w:bookmarkEnd w:id="0"/>
          </w:p>
        </w:tc>
        <w:tc>
          <w:tcPr>
            <w:tcW w:w="991" w:type="dxa"/>
            <w:tcBorders>
              <w:top w:val="nil"/>
              <w:left w:val="nil"/>
              <w:bottom w:val="single" w:sz="8" w:space="0" w:color="auto"/>
              <w:right w:val="single" w:sz="8" w:space="0" w:color="auto"/>
            </w:tcBorders>
            <w:shd w:val="clear" w:color="000000" w:fill="FBD4B4"/>
            <w:vAlign w:val="center"/>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Lokossa</w:t>
            </w:r>
          </w:p>
        </w:tc>
        <w:tc>
          <w:tcPr>
            <w:tcW w:w="970" w:type="dxa"/>
            <w:vMerge/>
            <w:tcBorders>
              <w:top w:val="single" w:sz="8" w:space="0" w:color="auto"/>
              <w:left w:val="single" w:sz="8" w:space="0" w:color="auto"/>
              <w:bottom w:val="single" w:sz="8" w:space="0" w:color="000000"/>
              <w:right w:val="single" w:sz="8" w:space="0" w:color="auto"/>
            </w:tcBorders>
            <w:vAlign w:val="center"/>
            <w:hideMark/>
          </w:tcPr>
          <w:p w:rsidR="00207C99" w:rsidRPr="0058147B" w:rsidRDefault="00207C99" w:rsidP="00BF08E4">
            <w:pPr>
              <w:rPr>
                <w:rFonts w:ascii="Times New Roman" w:hAnsi="Times New Roman" w:cs="Times New Roman"/>
                <w:b/>
                <w:bCs/>
                <w:color w:val="000000"/>
                <w:sz w:val="18"/>
                <w:szCs w:val="18"/>
              </w:rPr>
            </w:pPr>
          </w:p>
        </w:tc>
      </w:tr>
      <w:tr w:rsidR="00207C99" w:rsidRPr="0058147B" w:rsidTr="00BF08E4">
        <w:trPr>
          <w:trHeight w:val="13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Maïs séchés en grains vendus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246</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217</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218</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166</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165</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217</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205</w:t>
            </w:r>
          </w:p>
        </w:tc>
      </w:tr>
      <w:tr w:rsidR="00207C99" w:rsidRPr="0058147B" w:rsidTr="00BF08E4">
        <w:trPr>
          <w:trHeight w:val="19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en grains longs vendu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496</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496</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547</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510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526</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464</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506</w:t>
            </w:r>
          </w:p>
        </w:tc>
      </w:tr>
      <w:tr w:rsidR="00207C99" w:rsidRPr="0058147B" w:rsidTr="00BF08E4">
        <w:trPr>
          <w:trHeight w:val="24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Sorgho  (1KG)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518</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357</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443</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280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469</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512</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430</w:t>
            </w:r>
          </w:p>
        </w:tc>
      </w:tr>
      <w:tr w:rsidR="00207C99" w:rsidRPr="0058147B" w:rsidTr="00BF08E4">
        <w:trPr>
          <w:trHeight w:val="27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Mil  (1KG)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376</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489</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288</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471</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519</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440</w:t>
            </w:r>
          </w:p>
        </w:tc>
      </w:tr>
      <w:tr w:rsidR="00207C99" w:rsidRPr="0058147B" w:rsidTr="00BF08E4">
        <w:trPr>
          <w:trHeight w:val="262"/>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Gari 2ème qualité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443</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368</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286</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332</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397</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326</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359</w:t>
            </w:r>
          </w:p>
        </w:tc>
      </w:tr>
      <w:tr w:rsidR="00207C99" w:rsidRPr="0058147B" w:rsidTr="00BF08E4">
        <w:trPr>
          <w:trHeight w:val="26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Sucre raffiné en poudre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456</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462</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453</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501</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479</w:t>
            </w:r>
          </w:p>
        </w:tc>
      </w:tr>
      <w:tr w:rsidR="00207C99" w:rsidRPr="0058147B" w:rsidTr="00BF08E4">
        <w:trPr>
          <w:trHeight w:val="25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Haricot blanc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699</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622</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599</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416</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477</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578</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565</w:t>
            </w:r>
          </w:p>
        </w:tc>
      </w:tr>
      <w:tr w:rsidR="00207C99" w:rsidRPr="0058147B" w:rsidTr="00BF08E4">
        <w:trPr>
          <w:trHeight w:val="27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Ignames(1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395</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344</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329</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145</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442</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333</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331</w:t>
            </w:r>
          </w:p>
        </w:tc>
      </w:tr>
      <w:tr w:rsidR="00207C99" w:rsidRPr="0058147B" w:rsidTr="00BF08E4">
        <w:trPr>
          <w:trHeight w:val="26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Tomate fraiche(1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397</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323</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322</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207</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271</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229</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292</w:t>
            </w:r>
          </w:p>
        </w:tc>
      </w:tr>
      <w:tr w:rsidR="00207C99" w:rsidRPr="0058147B" w:rsidTr="00BF08E4">
        <w:trPr>
          <w:trHeight w:val="25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Piment frais  au kg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688</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594</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302</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304</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522</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760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529</w:t>
            </w:r>
          </w:p>
        </w:tc>
      </w:tr>
      <w:tr w:rsidR="00207C99" w:rsidRPr="0058147B" w:rsidTr="00BF08E4">
        <w:trPr>
          <w:trHeight w:val="25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Oignon frais rond(1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1 313</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849</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885</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1 128</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882</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499</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926</w:t>
            </w:r>
          </w:p>
        </w:tc>
      </w:tr>
      <w:tr w:rsidR="00207C99" w:rsidRPr="0058147B" w:rsidTr="00BF08E4">
        <w:trPr>
          <w:trHeight w:val="2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d'arachide artisanale (1 L)</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1 063</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1 200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850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850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994</w:t>
            </w:r>
          </w:p>
        </w:tc>
      </w:tr>
      <w:tr w:rsidR="00207C99" w:rsidRPr="0058147B" w:rsidTr="00BF08E4">
        <w:trPr>
          <w:trHeight w:val="26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de Palme non raffinée (1 L)</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688</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650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900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800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600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706</w:t>
            </w:r>
          </w:p>
        </w:tc>
      </w:tr>
      <w:tr w:rsidR="00207C99" w:rsidRPr="0058147B" w:rsidTr="00BF08E4">
        <w:trPr>
          <w:trHeight w:val="25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Pétrole lampant vendu en vrac (1 L)</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613</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629</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554</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616</w:t>
            </w:r>
          </w:p>
        </w:tc>
      </w:tr>
      <w:tr w:rsidR="00207C99" w:rsidRPr="0058147B" w:rsidTr="00BF08E4">
        <w:trPr>
          <w:trHeight w:val="27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Essence Kpayo (1 L)</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438</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406</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417</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393</w:t>
            </w:r>
          </w:p>
        </w:tc>
      </w:tr>
      <w:tr w:rsidR="00207C99" w:rsidRPr="0058147B" w:rsidTr="00BF08E4">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(6Kg)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3 300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3 270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3 270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3 300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3 357</w:t>
            </w:r>
          </w:p>
        </w:tc>
      </w:tr>
      <w:tr w:rsidR="00207C99" w:rsidRPr="0058147B" w:rsidTr="00BF08E4">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(12,5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6 850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6 850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6 815</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6 815</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6 850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6 863</w:t>
            </w:r>
          </w:p>
        </w:tc>
      </w:tr>
      <w:tr w:rsidR="00207C99" w:rsidRPr="0058147B" w:rsidTr="00BF08E4">
        <w:trPr>
          <w:trHeight w:val="28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Chinchard congelé  (Silvi)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1 325</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1 233</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1 300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1 200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1 200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1 283</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1 257</w:t>
            </w:r>
          </w:p>
        </w:tc>
      </w:tr>
      <w:tr w:rsidR="00207C99" w:rsidRPr="0058147B" w:rsidTr="00BF08E4">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bœuf sans os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1 800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2 400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2 417</w:t>
            </w:r>
          </w:p>
        </w:tc>
      </w:tr>
      <w:tr w:rsidR="00207C99" w:rsidRPr="0058147B" w:rsidTr="00BF08E4">
        <w:trPr>
          <w:trHeight w:val="14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mouton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2 000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3 000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2 633</w:t>
            </w:r>
          </w:p>
        </w:tc>
      </w:tr>
      <w:tr w:rsidR="00207C99" w:rsidRPr="0058147B" w:rsidTr="00BF08E4">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importé ''GINO'' (5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5 200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5 433</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5 500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6 000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5 500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5 100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5 456</w:t>
            </w:r>
          </w:p>
        </w:tc>
      </w:tr>
      <w:tr w:rsidR="00207C99" w:rsidRPr="0058147B" w:rsidTr="00BF08E4">
        <w:trPr>
          <w:trHeight w:val="19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''JAGO''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954</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992</w:t>
            </w:r>
          </w:p>
        </w:tc>
      </w:tr>
      <w:tr w:rsidR="00207C99" w:rsidRPr="0058147B" w:rsidTr="00BF08E4">
        <w:trPr>
          <w:trHeight w:val="229"/>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''Cèbon''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950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900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938</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965</w:t>
            </w:r>
          </w:p>
        </w:tc>
      </w:tr>
      <w:tr w:rsidR="00207C99" w:rsidRPr="0058147B" w:rsidTr="00BF08E4">
        <w:trPr>
          <w:trHeight w:val="12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Farine de blé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450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450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500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467</w:t>
            </w:r>
          </w:p>
        </w:tc>
      </w:tr>
      <w:tr w:rsidR="00207C99" w:rsidRPr="0058147B" w:rsidTr="00BF08E4">
        <w:trPr>
          <w:trHeight w:val="28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Spaghetti ''Matanti'' (1 KG)</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350</w:t>
            </w:r>
          </w:p>
        </w:tc>
      </w:tr>
      <w:tr w:rsidR="00207C99" w:rsidRPr="0058147B" w:rsidTr="00BF08E4">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NOCIBE (1tonne)</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68 500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76 000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75 000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69 417</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71 931</w:t>
            </w:r>
          </w:p>
        </w:tc>
      </w:tr>
      <w:tr w:rsidR="00207C99" w:rsidRPr="0058147B" w:rsidTr="00BF08E4">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SCB Lafarge (1tonne)</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70 000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74 042</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76 000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75 000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69 167</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72 146</w:t>
            </w:r>
          </w:p>
        </w:tc>
      </w:tr>
      <w:tr w:rsidR="00207C99" w:rsidRPr="0058147B" w:rsidTr="00BF08E4">
        <w:trPr>
          <w:trHeight w:val="23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8) (1tonne)</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482 500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491 667</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490 000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492 361</w:t>
            </w:r>
          </w:p>
        </w:tc>
      </w:tr>
      <w:tr w:rsidR="00207C99" w:rsidRPr="0058147B" w:rsidTr="00BF08E4">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207C99" w:rsidRPr="0058147B" w:rsidRDefault="00207C99" w:rsidP="00BF08E4">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10) (1tonne)</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482 500</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494 583</w:t>
            </w:r>
          </w:p>
        </w:tc>
        <w:tc>
          <w:tcPr>
            <w:tcW w:w="992"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490 000</w:t>
            </w:r>
          </w:p>
        </w:tc>
        <w:tc>
          <w:tcPr>
            <w:tcW w:w="991"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207C99" w:rsidRPr="0058147B" w:rsidRDefault="00207C99" w:rsidP="00BF08E4">
            <w:pPr>
              <w:jc w:val="center"/>
              <w:rPr>
                <w:rFonts w:ascii="Times New Roman" w:hAnsi="Times New Roman" w:cs="Times New Roman"/>
                <w:color w:val="000000"/>
                <w:sz w:val="18"/>
                <w:szCs w:val="18"/>
              </w:rPr>
            </w:pPr>
            <w:r w:rsidRPr="0058147B">
              <w:rPr>
                <w:rFonts w:ascii="Times New Roman" w:hAnsi="Times New Roman" w:cs="Times New Roman"/>
                <w:color w:val="000000"/>
                <w:sz w:val="18"/>
                <w:szCs w:val="18"/>
              </w:rPr>
              <w:t>492 847</w:t>
            </w:r>
          </w:p>
        </w:tc>
      </w:tr>
    </w:tbl>
    <w:p w:rsidR="003671B8" w:rsidRDefault="00207C99" w:rsidP="003671B8">
      <w:pPr>
        <w:ind w:left="-851"/>
        <w:rPr>
          <w:bCs/>
          <w:sz w:val="16"/>
          <w:szCs w:val="16"/>
        </w:rPr>
      </w:pPr>
      <w:r w:rsidRPr="00207C99">
        <w:rPr>
          <w:bCs/>
          <w:sz w:val="16"/>
          <w:szCs w:val="16"/>
        </w:rPr>
        <w:t xml:space="preserve">                       </w:t>
      </w:r>
      <w:r w:rsidR="003671B8" w:rsidRPr="00EF61AD">
        <w:rPr>
          <w:bCs/>
          <w:sz w:val="16"/>
          <w:szCs w:val="16"/>
          <w:u w:val="single"/>
        </w:rPr>
        <w:t>Source</w:t>
      </w:r>
      <w:r w:rsidR="003671B8">
        <w:rPr>
          <w:bCs/>
          <w:sz w:val="16"/>
          <w:szCs w:val="16"/>
          <w:u w:val="single"/>
        </w:rPr>
        <w:t>s</w:t>
      </w:r>
      <w:r w:rsidR="003671B8" w:rsidRPr="00E22F01">
        <w:rPr>
          <w:bCs/>
          <w:sz w:val="16"/>
          <w:szCs w:val="16"/>
        </w:rPr>
        <w:t> : DSS/INSAE</w:t>
      </w:r>
      <w:r w:rsidR="003671B8">
        <w:rPr>
          <w:bCs/>
          <w:sz w:val="16"/>
          <w:szCs w:val="16"/>
        </w:rPr>
        <w:t>-DDPD</w:t>
      </w:r>
      <w:r w:rsidR="003671B8" w:rsidRPr="00E22F01">
        <w:rPr>
          <w:bCs/>
          <w:sz w:val="16"/>
          <w:szCs w:val="16"/>
        </w:rPr>
        <w:t>,</w:t>
      </w:r>
      <w:r>
        <w:rPr>
          <w:bCs/>
          <w:sz w:val="16"/>
          <w:szCs w:val="16"/>
        </w:rPr>
        <w:t xml:space="preserve"> novembre</w:t>
      </w:r>
      <w:r w:rsidR="003671B8">
        <w:rPr>
          <w:bCs/>
          <w:sz w:val="16"/>
          <w:szCs w:val="16"/>
        </w:rPr>
        <w:t xml:space="preserve"> 2020</w:t>
      </w:r>
    </w:p>
    <w:p w:rsidR="003671B8" w:rsidRDefault="003671B8" w:rsidP="003671B8">
      <w:pPr>
        <w:rPr>
          <w:bCs/>
          <w:sz w:val="16"/>
          <w:szCs w:val="16"/>
        </w:rPr>
      </w:pPr>
    </w:p>
    <w:p w:rsidR="003671B8"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Tableau 6 : Evolution du taux d’inflation dans les pays de l’UEMOA</w:t>
      </w:r>
    </w:p>
    <w:tbl>
      <w:tblPr>
        <w:tblW w:w="10560" w:type="dxa"/>
        <w:tblCellMar>
          <w:left w:w="70" w:type="dxa"/>
          <w:right w:w="70" w:type="dxa"/>
        </w:tblCellMar>
        <w:tblLook w:val="04A0"/>
      </w:tblPr>
      <w:tblGrid>
        <w:gridCol w:w="961"/>
        <w:gridCol w:w="820"/>
        <w:gridCol w:w="627"/>
        <w:gridCol w:w="613"/>
        <w:gridCol w:w="658"/>
        <w:gridCol w:w="649"/>
        <w:gridCol w:w="780"/>
        <w:gridCol w:w="613"/>
        <w:gridCol w:w="622"/>
        <w:gridCol w:w="649"/>
        <w:gridCol w:w="732"/>
        <w:gridCol w:w="736"/>
        <w:gridCol w:w="709"/>
        <w:gridCol w:w="599"/>
        <w:gridCol w:w="792"/>
      </w:tblGrid>
      <w:tr w:rsidR="001B2909" w:rsidRPr="00EF0798" w:rsidTr="001B2909">
        <w:trPr>
          <w:trHeight w:val="330"/>
        </w:trPr>
        <w:tc>
          <w:tcPr>
            <w:tcW w:w="961"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 </w:t>
            </w:r>
          </w:p>
        </w:tc>
        <w:tc>
          <w:tcPr>
            <w:tcW w:w="820"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Poids</w:t>
            </w:r>
          </w:p>
        </w:tc>
        <w:tc>
          <w:tcPr>
            <w:tcW w:w="627"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nov-19</w:t>
            </w:r>
          </w:p>
        </w:tc>
        <w:tc>
          <w:tcPr>
            <w:tcW w:w="613"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déc-19</w:t>
            </w:r>
          </w:p>
        </w:tc>
        <w:tc>
          <w:tcPr>
            <w:tcW w:w="658"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janv-20</w:t>
            </w:r>
          </w:p>
        </w:tc>
        <w:tc>
          <w:tcPr>
            <w:tcW w:w="649"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févr-20</w:t>
            </w:r>
          </w:p>
        </w:tc>
        <w:tc>
          <w:tcPr>
            <w:tcW w:w="780"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mars-20</w:t>
            </w:r>
          </w:p>
        </w:tc>
        <w:tc>
          <w:tcPr>
            <w:tcW w:w="613"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avr-20</w:t>
            </w:r>
          </w:p>
        </w:tc>
        <w:tc>
          <w:tcPr>
            <w:tcW w:w="622"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mai-20</w:t>
            </w:r>
          </w:p>
        </w:tc>
        <w:tc>
          <w:tcPr>
            <w:tcW w:w="649"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juin-20</w:t>
            </w:r>
          </w:p>
        </w:tc>
        <w:tc>
          <w:tcPr>
            <w:tcW w:w="732" w:type="dxa"/>
            <w:tcBorders>
              <w:top w:val="double" w:sz="6" w:space="0" w:color="auto"/>
              <w:left w:val="nil"/>
              <w:bottom w:val="single" w:sz="8" w:space="0" w:color="auto"/>
              <w:right w:val="nil"/>
            </w:tcBorders>
            <w:shd w:val="clear" w:color="000000" w:fill="00FFFF"/>
            <w:vAlign w:val="bottom"/>
            <w:hideMark/>
          </w:tcPr>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juil.-20</w:t>
            </w:r>
          </w:p>
        </w:tc>
        <w:tc>
          <w:tcPr>
            <w:tcW w:w="736" w:type="dxa"/>
            <w:tcBorders>
              <w:top w:val="double" w:sz="6" w:space="0" w:color="auto"/>
              <w:left w:val="nil"/>
              <w:bottom w:val="single" w:sz="8" w:space="0" w:color="auto"/>
              <w:right w:val="nil"/>
            </w:tcBorders>
            <w:shd w:val="clear" w:color="000000" w:fill="00FFFF"/>
          </w:tcPr>
          <w:p w:rsidR="001B2909" w:rsidRPr="00EF0798" w:rsidRDefault="001B2909" w:rsidP="003671B8">
            <w:pPr>
              <w:jc w:val="center"/>
              <w:rPr>
                <w:rFonts w:ascii="Times New Roman" w:hAnsi="Times New Roman" w:cs="Times New Roman"/>
                <w:b/>
                <w:bCs/>
                <w:sz w:val="16"/>
                <w:szCs w:val="16"/>
              </w:rPr>
            </w:pPr>
          </w:p>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août-20</w:t>
            </w:r>
          </w:p>
        </w:tc>
        <w:tc>
          <w:tcPr>
            <w:tcW w:w="709" w:type="dxa"/>
            <w:tcBorders>
              <w:top w:val="double" w:sz="6" w:space="0" w:color="auto"/>
              <w:left w:val="nil"/>
              <w:bottom w:val="single" w:sz="8" w:space="0" w:color="auto"/>
              <w:right w:val="nil"/>
            </w:tcBorders>
            <w:shd w:val="clear" w:color="000000" w:fill="00FFFF"/>
          </w:tcPr>
          <w:p w:rsidR="001B2909" w:rsidRPr="00EF0798" w:rsidRDefault="001B2909" w:rsidP="003671B8">
            <w:pPr>
              <w:jc w:val="center"/>
              <w:rPr>
                <w:rFonts w:ascii="Times New Roman" w:hAnsi="Times New Roman" w:cs="Times New Roman"/>
                <w:b/>
                <w:bCs/>
                <w:sz w:val="16"/>
                <w:szCs w:val="16"/>
              </w:rPr>
            </w:pPr>
          </w:p>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sept-20</w:t>
            </w:r>
          </w:p>
        </w:tc>
        <w:tc>
          <w:tcPr>
            <w:tcW w:w="599" w:type="dxa"/>
            <w:tcBorders>
              <w:top w:val="double" w:sz="6" w:space="0" w:color="auto"/>
              <w:left w:val="nil"/>
              <w:bottom w:val="single" w:sz="8" w:space="0" w:color="auto"/>
              <w:right w:val="nil"/>
            </w:tcBorders>
            <w:shd w:val="clear" w:color="000000" w:fill="00FFFF"/>
          </w:tcPr>
          <w:p w:rsidR="001B2909" w:rsidRPr="00EF0798" w:rsidRDefault="001B2909" w:rsidP="003671B8">
            <w:pPr>
              <w:jc w:val="center"/>
              <w:rPr>
                <w:rFonts w:ascii="Times New Roman" w:hAnsi="Times New Roman" w:cs="Times New Roman"/>
                <w:b/>
                <w:bCs/>
                <w:sz w:val="16"/>
                <w:szCs w:val="16"/>
              </w:rPr>
            </w:pPr>
          </w:p>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oct.20</w:t>
            </w:r>
          </w:p>
        </w:tc>
        <w:tc>
          <w:tcPr>
            <w:tcW w:w="792" w:type="dxa"/>
            <w:tcBorders>
              <w:top w:val="double" w:sz="6" w:space="0" w:color="auto"/>
              <w:left w:val="nil"/>
              <w:bottom w:val="single" w:sz="8" w:space="0" w:color="auto"/>
              <w:right w:val="nil"/>
            </w:tcBorders>
            <w:shd w:val="clear" w:color="000000" w:fill="00FFFF"/>
          </w:tcPr>
          <w:p w:rsidR="001B2909" w:rsidRPr="00EF0798" w:rsidRDefault="001B2909" w:rsidP="003671B8">
            <w:pPr>
              <w:jc w:val="center"/>
              <w:rPr>
                <w:rFonts w:ascii="Times New Roman" w:hAnsi="Times New Roman" w:cs="Times New Roman"/>
                <w:b/>
                <w:bCs/>
                <w:sz w:val="16"/>
                <w:szCs w:val="16"/>
              </w:rPr>
            </w:pPr>
          </w:p>
          <w:p w:rsidR="001B2909" w:rsidRPr="00EF0798" w:rsidRDefault="001B2909"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nov.-20</w:t>
            </w:r>
          </w:p>
        </w:tc>
      </w:tr>
      <w:tr w:rsidR="00EF0798" w:rsidRPr="00EF0798" w:rsidTr="0081467C">
        <w:trPr>
          <w:trHeight w:val="300"/>
        </w:trPr>
        <w:tc>
          <w:tcPr>
            <w:tcW w:w="961" w:type="dxa"/>
            <w:tcBorders>
              <w:top w:val="nil"/>
              <w:left w:val="nil"/>
              <w:bottom w:val="nil"/>
              <w:right w:val="nil"/>
            </w:tcBorders>
            <w:shd w:val="clear" w:color="auto" w:fill="auto"/>
            <w:noWrap/>
            <w:vAlign w:val="bottom"/>
            <w:hideMark/>
          </w:tcPr>
          <w:p w:rsidR="00EF0798" w:rsidRPr="00EF0798" w:rsidRDefault="00EF0798"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BENIN</w:t>
            </w:r>
          </w:p>
        </w:tc>
        <w:tc>
          <w:tcPr>
            <w:tcW w:w="820" w:type="dxa"/>
            <w:tcBorders>
              <w:top w:val="nil"/>
              <w:left w:val="nil"/>
              <w:bottom w:val="nil"/>
              <w:right w:val="nil"/>
            </w:tcBorders>
            <w:shd w:val="clear" w:color="auto" w:fill="auto"/>
            <w:vAlign w:val="bottom"/>
            <w:hideMark/>
          </w:tcPr>
          <w:p w:rsidR="00EF0798" w:rsidRPr="00EF0798" w:rsidRDefault="00EF0798"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760</w:t>
            </w:r>
          </w:p>
        </w:tc>
        <w:tc>
          <w:tcPr>
            <w:tcW w:w="627"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-1,0</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658"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80"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-0,4</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0,0</w:t>
            </w:r>
          </w:p>
        </w:tc>
        <w:tc>
          <w:tcPr>
            <w:tcW w:w="62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3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36"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09"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2,5</w:t>
            </w:r>
          </w:p>
        </w:tc>
        <w:tc>
          <w:tcPr>
            <w:tcW w:w="599"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2,9</w:t>
            </w:r>
          </w:p>
        </w:tc>
        <w:tc>
          <w:tcPr>
            <w:tcW w:w="792"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3,0</w:t>
            </w:r>
          </w:p>
        </w:tc>
      </w:tr>
      <w:tr w:rsidR="00EF0798" w:rsidRPr="00EF0798" w:rsidTr="0081467C">
        <w:trPr>
          <w:trHeight w:val="300"/>
        </w:trPr>
        <w:tc>
          <w:tcPr>
            <w:tcW w:w="961" w:type="dxa"/>
            <w:tcBorders>
              <w:top w:val="nil"/>
              <w:left w:val="nil"/>
              <w:bottom w:val="nil"/>
              <w:right w:val="nil"/>
            </w:tcBorders>
            <w:shd w:val="clear" w:color="auto" w:fill="auto"/>
            <w:noWrap/>
            <w:vAlign w:val="bottom"/>
            <w:hideMark/>
          </w:tcPr>
          <w:p w:rsidR="00EF0798" w:rsidRPr="00EF0798" w:rsidRDefault="00EF0798"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BURKINA</w:t>
            </w:r>
          </w:p>
        </w:tc>
        <w:tc>
          <w:tcPr>
            <w:tcW w:w="820" w:type="dxa"/>
            <w:tcBorders>
              <w:top w:val="nil"/>
              <w:left w:val="nil"/>
              <w:bottom w:val="nil"/>
              <w:right w:val="nil"/>
            </w:tcBorders>
            <w:shd w:val="clear" w:color="auto" w:fill="auto"/>
            <w:vAlign w:val="bottom"/>
            <w:hideMark/>
          </w:tcPr>
          <w:p w:rsidR="00EF0798" w:rsidRPr="00EF0798" w:rsidRDefault="00EF0798"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1258</w:t>
            </w:r>
          </w:p>
        </w:tc>
        <w:tc>
          <w:tcPr>
            <w:tcW w:w="627"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-3,2</w:t>
            </w:r>
          </w:p>
        </w:tc>
        <w:tc>
          <w:tcPr>
            <w:tcW w:w="658"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-3,1</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780"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-2,7</w:t>
            </w:r>
          </w:p>
        </w:tc>
        <w:tc>
          <w:tcPr>
            <w:tcW w:w="62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3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736"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09"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599"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0,8</w:t>
            </w:r>
          </w:p>
        </w:tc>
        <w:tc>
          <w:tcPr>
            <w:tcW w:w="792"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r>
      <w:tr w:rsidR="00EF0798" w:rsidRPr="00EF0798" w:rsidTr="0081467C">
        <w:trPr>
          <w:trHeight w:val="300"/>
        </w:trPr>
        <w:tc>
          <w:tcPr>
            <w:tcW w:w="961" w:type="dxa"/>
            <w:tcBorders>
              <w:top w:val="nil"/>
              <w:left w:val="nil"/>
              <w:bottom w:val="nil"/>
              <w:right w:val="nil"/>
            </w:tcBorders>
            <w:shd w:val="clear" w:color="auto" w:fill="auto"/>
            <w:noWrap/>
            <w:vAlign w:val="bottom"/>
            <w:hideMark/>
          </w:tcPr>
          <w:p w:rsidR="00EF0798" w:rsidRPr="00EF0798" w:rsidRDefault="00EF0798"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COTE D'IVOIRE</w:t>
            </w:r>
          </w:p>
        </w:tc>
        <w:tc>
          <w:tcPr>
            <w:tcW w:w="820" w:type="dxa"/>
            <w:tcBorders>
              <w:top w:val="nil"/>
              <w:left w:val="nil"/>
              <w:bottom w:val="nil"/>
              <w:right w:val="nil"/>
            </w:tcBorders>
            <w:shd w:val="clear" w:color="auto" w:fill="auto"/>
            <w:vAlign w:val="bottom"/>
            <w:hideMark/>
          </w:tcPr>
          <w:p w:rsidR="00EF0798" w:rsidRPr="00EF0798" w:rsidRDefault="00EF0798"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3131</w:t>
            </w:r>
          </w:p>
        </w:tc>
        <w:tc>
          <w:tcPr>
            <w:tcW w:w="627"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0,8</w:t>
            </w:r>
          </w:p>
        </w:tc>
        <w:tc>
          <w:tcPr>
            <w:tcW w:w="658"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780"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62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3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736"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09"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599"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792"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r>
      <w:tr w:rsidR="00EF0798" w:rsidRPr="00EF0798" w:rsidTr="0081467C">
        <w:trPr>
          <w:trHeight w:val="300"/>
        </w:trPr>
        <w:tc>
          <w:tcPr>
            <w:tcW w:w="961" w:type="dxa"/>
            <w:tcBorders>
              <w:top w:val="nil"/>
              <w:left w:val="nil"/>
              <w:bottom w:val="nil"/>
              <w:right w:val="nil"/>
            </w:tcBorders>
            <w:shd w:val="clear" w:color="auto" w:fill="auto"/>
            <w:noWrap/>
            <w:vAlign w:val="bottom"/>
            <w:hideMark/>
          </w:tcPr>
          <w:p w:rsidR="00EF0798" w:rsidRPr="00EF0798" w:rsidRDefault="00EF0798"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GUINNEE-BISSAU</w:t>
            </w:r>
          </w:p>
        </w:tc>
        <w:tc>
          <w:tcPr>
            <w:tcW w:w="820" w:type="dxa"/>
            <w:tcBorders>
              <w:top w:val="nil"/>
              <w:left w:val="nil"/>
              <w:bottom w:val="nil"/>
              <w:right w:val="nil"/>
            </w:tcBorders>
            <w:shd w:val="clear" w:color="auto" w:fill="auto"/>
            <w:vAlign w:val="bottom"/>
            <w:hideMark/>
          </w:tcPr>
          <w:p w:rsidR="00EF0798" w:rsidRPr="00EF0798" w:rsidRDefault="00EF0798"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141</w:t>
            </w:r>
          </w:p>
        </w:tc>
        <w:tc>
          <w:tcPr>
            <w:tcW w:w="627"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0,5</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658"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0,0</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780"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62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6"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09"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1,0</w:t>
            </w:r>
          </w:p>
        </w:tc>
        <w:tc>
          <w:tcPr>
            <w:tcW w:w="599"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1,2</w:t>
            </w:r>
          </w:p>
        </w:tc>
        <w:tc>
          <w:tcPr>
            <w:tcW w:w="792"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r>
      <w:tr w:rsidR="00EF0798" w:rsidRPr="00EF0798" w:rsidTr="0081467C">
        <w:trPr>
          <w:trHeight w:val="300"/>
        </w:trPr>
        <w:tc>
          <w:tcPr>
            <w:tcW w:w="961" w:type="dxa"/>
            <w:tcBorders>
              <w:top w:val="nil"/>
              <w:left w:val="nil"/>
              <w:bottom w:val="nil"/>
              <w:right w:val="nil"/>
            </w:tcBorders>
            <w:shd w:val="clear" w:color="auto" w:fill="auto"/>
            <w:noWrap/>
            <w:vAlign w:val="bottom"/>
            <w:hideMark/>
          </w:tcPr>
          <w:p w:rsidR="00EF0798" w:rsidRPr="00EF0798" w:rsidRDefault="00EF0798"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MALI</w:t>
            </w:r>
          </w:p>
        </w:tc>
        <w:tc>
          <w:tcPr>
            <w:tcW w:w="820" w:type="dxa"/>
            <w:tcBorders>
              <w:top w:val="nil"/>
              <w:left w:val="nil"/>
              <w:bottom w:val="nil"/>
              <w:right w:val="nil"/>
            </w:tcBorders>
            <w:shd w:val="clear" w:color="auto" w:fill="auto"/>
            <w:vAlign w:val="bottom"/>
            <w:hideMark/>
          </w:tcPr>
          <w:p w:rsidR="00EF0798" w:rsidRPr="00EF0798" w:rsidRDefault="00EF0798"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1428</w:t>
            </w:r>
          </w:p>
        </w:tc>
        <w:tc>
          <w:tcPr>
            <w:tcW w:w="627"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-2,7</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-3,0</w:t>
            </w:r>
          </w:p>
        </w:tc>
        <w:tc>
          <w:tcPr>
            <w:tcW w:w="658"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780"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62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3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36"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09"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599"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-0,4</w:t>
            </w:r>
          </w:p>
        </w:tc>
        <w:tc>
          <w:tcPr>
            <w:tcW w:w="792"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0,1</w:t>
            </w:r>
          </w:p>
        </w:tc>
      </w:tr>
      <w:tr w:rsidR="00EF0798" w:rsidRPr="00EF0798" w:rsidTr="0081467C">
        <w:trPr>
          <w:trHeight w:val="300"/>
        </w:trPr>
        <w:tc>
          <w:tcPr>
            <w:tcW w:w="961" w:type="dxa"/>
            <w:tcBorders>
              <w:top w:val="nil"/>
              <w:left w:val="nil"/>
              <w:bottom w:val="nil"/>
              <w:right w:val="nil"/>
            </w:tcBorders>
            <w:shd w:val="clear" w:color="auto" w:fill="auto"/>
            <w:noWrap/>
            <w:vAlign w:val="bottom"/>
            <w:hideMark/>
          </w:tcPr>
          <w:p w:rsidR="00EF0798" w:rsidRPr="00EF0798" w:rsidRDefault="00EF0798"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NIGER</w:t>
            </w:r>
          </w:p>
        </w:tc>
        <w:tc>
          <w:tcPr>
            <w:tcW w:w="820" w:type="dxa"/>
            <w:tcBorders>
              <w:top w:val="nil"/>
              <w:left w:val="nil"/>
              <w:bottom w:val="nil"/>
              <w:right w:val="nil"/>
            </w:tcBorders>
            <w:shd w:val="clear" w:color="auto" w:fill="auto"/>
            <w:vAlign w:val="bottom"/>
            <w:hideMark/>
          </w:tcPr>
          <w:p w:rsidR="00EF0798" w:rsidRPr="00EF0798" w:rsidRDefault="00EF0798"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1111</w:t>
            </w:r>
          </w:p>
        </w:tc>
        <w:tc>
          <w:tcPr>
            <w:tcW w:w="627"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-2,2</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-2,5</w:t>
            </w:r>
          </w:p>
        </w:tc>
        <w:tc>
          <w:tcPr>
            <w:tcW w:w="658"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-2,3</w:t>
            </w:r>
          </w:p>
        </w:tc>
        <w:tc>
          <w:tcPr>
            <w:tcW w:w="780"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62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736"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09"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599"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2,0</w:t>
            </w:r>
          </w:p>
        </w:tc>
        <w:tc>
          <w:tcPr>
            <w:tcW w:w="792"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r>
      <w:tr w:rsidR="00EF0798" w:rsidRPr="00EF0798" w:rsidTr="0081467C">
        <w:trPr>
          <w:trHeight w:val="300"/>
        </w:trPr>
        <w:tc>
          <w:tcPr>
            <w:tcW w:w="961" w:type="dxa"/>
            <w:tcBorders>
              <w:top w:val="nil"/>
              <w:left w:val="nil"/>
              <w:bottom w:val="nil"/>
              <w:right w:val="nil"/>
            </w:tcBorders>
            <w:shd w:val="clear" w:color="auto" w:fill="auto"/>
            <w:noWrap/>
            <w:vAlign w:val="bottom"/>
            <w:hideMark/>
          </w:tcPr>
          <w:p w:rsidR="00EF0798" w:rsidRPr="00EF0798" w:rsidRDefault="00EF0798"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SENEGAL</w:t>
            </w:r>
          </w:p>
        </w:tc>
        <w:tc>
          <w:tcPr>
            <w:tcW w:w="820" w:type="dxa"/>
            <w:tcBorders>
              <w:top w:val="nil"/>
              <w:left w:val="nil"/>
              <w:bottom w:val="nil"/>
              <w:right w:val="nil"/>
            </w:tcBorders>
            <w:shd w:val="clear" w:color="auto" w:fill="auto"/>
            <w:vAlign w:val="bottom"/>
            <w:hideMark/>
          </w:tcPr>
          <w:p w:rsidR="00EF0798" w:rsidRPr="00EF0798" w:rsidRDefault="00EF0798"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1491</w:t>
            </w:r>
          </w:p>
        </w:tc>
        <w:tc>
          <w:tcPr>
            <w:tcW w:w="627"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1,0</w:t>
            </w:r>
          </w:p>
        </w:tc>
        <w:tc>
          <w:tcPr>
            <w:tcW w:w="658"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1,3</w:t>
            </w:r>
          </w:p>
        </w:tc>
        <w:tc>
          <w:tcPr>
            <w:tcW w:w="780"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62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3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36"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09"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2,2</w:t>
            </w:r>
          </w:p>
        </w:tc>
        <w:tc>
          <w:tcPr>
            <w:tcW w:w="599"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792"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r>
      <w:tr w:rsidR="00EF0798" w:rsidRPr="00EF0798" w:rsidTr="0081467C">
        <w:trPr>
          <w:trHeight w:val="300"/>
        </w:trPr>
        <w:tc>
          <w:tcPr>
            <w:tcW w:w="961" w:type="dxa"/>
            <w:tcBorders>
              <w:top w:val="nil"/>
              <w:left w:val="nil"/>
              <w:bottom w:val="nil"/>
              <w:right w:val="nil"/>
            </w:tcBorders>
            <w:shd w:val="clear" w:color="auto" w:fill="auto"/>
            <w:noWrap/>
            <w:vAlign w:val="bottom"/>
            <w:hideMark/>
          </w:tcPr>
          <w:p w:rsidR="00EF0798" w:rsidRPr="00EF0798" w:rsidRDefault="00EF0798"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TOGO</w:t>
            </w:r>
          </w:p>
        </w:tc>
        <w:tc>
          <w:tcPr>
            <w:tcW w:w="820" w:type="dxa"/>
            <w:tcBorders>
              <w:top w:val="nil"/>
              <w:left w:val="nil"/>
              <w:bottom w:val="nil"/>
              <w:right w:val="nil"/>
            </w:tcBorders>
            <w:shd w:val="clear" w:color="auto" w:fill="auto"/>
            <w:vAlign w:val="bottom"/>
            <w:hideMark/>
          </w:tcPr>
          <w:p w:rsidR="00EF0798" w:rsidRPr="00EF0798" w:rsidRDefault="00EF0798"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681</w:t>
            </w:r>
          </w:p>
        </w:tc>
        <w:tc>
          <w:tcPr>
            <w:tcW w:w="627"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658"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0,5</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0,5</w:t>
            </w:r>
          </w:p>
        </w:tc>
        <w:tc>
          <w:tcPr>
            <w:tcW w:w="780"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0,4</w:t>
            </w:r>
          </w:p>
        </w:tc>
        <w:tc>
          <w:tcPr>
            <w:tcW w:w="613"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62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0,8</w:t>
            </w:r>
          </w:p>
        </w:tc>
        <w:tc>
          <w:tcPr>
            <w:tcW w:w="649"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2" w:type="dxa"/>
            <w:tcBorders>
              <w:top w:val="nil"/>
              <w:left w:val="nil"/>
              <w:bottom w:val="nil"/>
              <w:right w:val="nil"/>
            </w:tcBorders>
            <w:shd w:val="clear" w:color="auto" w:fill="auto"/>
            <w:noWrap/>
            <w:vAlign w:val="bottom"/>
            <w:hideMark/>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6"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09" w:type="dxa"/>
            <w:tcBorders>
              <w:top w:val="nil"/>
              <w:left w:val="nil"/>
              <w:bottom w:val="nil"/>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599"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792" w:type="dxa"/>
            <w:tcBorders>
              <w:top w:val="nil"/>
              <w:left w:val="nil"/>
              <w:bottom w:val="nil"/>
              <w:right w:val="nil"/>
            </w:tcBorders>
            <w:vAlign w:val="bottom"/>
          </w:tcPr>
          <w:p w:rsidR="00EF0798" w:rsidRPr="00EF0798" w:rsidRDefault="00EF0798">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r>
      <w:tr w:rsidR="00EF0798" w:rsidRPr="00EF0798" w:rsidTr="0081467C">
        <w:trPr>
          <w:trHeight w:val="315"/>
        </w:trPr>
        <w:tc>
          <w:tcPr>
            <w:tcW w:w="961" w:type="dxa"/>
            <w:tcBorders>
              <w:top w:val="nil"/>
              <w:left w:val="nil"/>
              <w:bottom w:val="double" w:sz="6" w:space="0" w:color="auto"/>
              <w:right w:val="nil"/>
            </w:tcBorders>
            <w:shd w:val="clear" w:color="auto" w:fill="auto"/>
            <w:noWrap/>
            <w:vAlign w:val="bottom"/>
            <w:hideMark/>
          </w:tcPr>
          <w:p w:rsidR="00EF0798" w:rsidRPr="00EF0798" w:rsidRDefault="00EF0798"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UEMOA</w:t>
            </w:r>
          </w:p>
        </w:tc>
        <w:tc>
          <w:tcPr>
            <w:tcW w:w="820"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10000</w:t>
            </w:r>
          </w:p>
        </w:tc>
        <w:tc>
          <w:tcPr>
            <w:tcW w:w="627"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-0,6</w:t>
            </w:r>
          </w:p>
        </w:tc>
        <w:tc>
          <w:tcPr>
            <w:tcW w:w="613"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-0,7</w:t>
            </w:r>
          </w:p>
        </w:tc>
        <w:tc>
          <w:tcPr>
            <w:tcW w:w="658"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-0,7</w:t>
            </w:r>
          </w:p>
        </w:tc>
        <w:tc>
          <w:tcPr>
            <w:tcW w:w="649"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-0,5</w:t>
            </w:r>
          </w:p>
        </w:tc>
        <w:tc>
          <w:tcPr>
            <w:tcW w:w="780"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613"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622"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649"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732" w:type="dxa"/>
            <w:tcBorders>
              <w:top w:val="nil"/>
              <w:left w:val="nil"/>
              <w:bottom w:val="double" w:sz="6" w:space="0" w:color="auto"/>
              <w:right w:val="nil"/>
            </w:tcBorders>
            <w:shd w:val="clear" w:color="auto" w:fill="auto"/>
            <w:noWrap/>
            <w:vAlign w:val="bottom"/>
            <w:hideMark/>
          </w:tcPr>
          <w:p w:rsidR="00EF0798" w:rsidRPr="00EF0798" w:rsidRDefault="00EF0798"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0,6</w:t>
            </w:r>
          </w:p>
        </w:tc>
        <w:tc>
          <w:tcPr>
            <w:tcW w:w="736" w:type="dxa"/>
            <w:tcBorders>
              <w:top w:val="nil"/>
              <w:left w:val="nil"/>
              <w:bottom w:val="double" w:sz="6" w:space="0" w:color="auto"/>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b/>
                <w:bCs/>
                <w:sz w:val="16"/>
                <w:szCs w:val="16"/>
              </w:rPr>
              <w:t>1,0</w:t>
            </w:r>
          </w:p>
        </w:tc>
        <w:tc>
          <w:tcPr>
            <w:tcW w:w="709" w:type="dxa"/>
            <w:tcBorders>
              <w:top w:val="nil"/>
              <w:left w:val="nil"/>
              <w:bottom w:val="double" w:sz="6" w:space="0" w:color="auto"/>
              <w:right w:val="nil"/>
            </w:tcBorders>
            <w:vAlign w:val="bottom"/>
          </w:tcPr>
          <w:p w:rsidR="00EF0798" w:rsidRPr="00EF0798" w:rsidRDefault="00EF0798" w:rsidP="003671B8">
            <w:pPr>
              <w:jc w:val="center"/>
              <w:rPr>
                <w:rFonts w:ascii="Times New Roman" w:hAnsi="Times New Roman" w:cs="Times New Roman"/>
                <w:sz w:val="16"/>
                <w:szCs w:val="16"/>
              </w:rPr>
            </w:pPr>
            <w:r w:rsidRPr="00EF0798">
              <w:rPr>
                <w:rFonts w:ascii="Times New Roman" w:hAnsi="Times New Roman" w:cs="Times New Roman"/>
                <w:b/>
                <w:bCs/>
                <w:sz w:val="16"/>
                <w:szCs w:val="16"/>
              </w:rPr>
              <w:t>1,3</w:t>
            </w:r>
          </w:p>
        </w:tc>
        <w:tc>
          <w:tcPr>
            <w:tcW w:w="599" w:type="dxa"/>
            <w:tcBorders>
              <w:top w:val="nil"/>
              <w:left w:val="nil"/>
              <w:bottom w:val="double" w:sz="6" w:space="0" w:color="auto"/>
              <w:right w:val="nil"/>
            </w:tcBorders>
            <w:vAlign w:val="bottom"/>
          </w:tcPr>
          <w:p w:rsidR="00EF0798" w:rsidRPr="00EF0798" w:rsidRDefault="00EF0798">
            <w:pPr>
              <w:jc w:val="right"/>
              <w:rPr>
                <w:rFonts w:ascii="Times New Roman" w:hAnsi="Times New Roman" w:cs="Times New Roman"/>
                <w:sz w:val="16"/>
                <w:szCs w:val="16"/>
              </w:rPr>
            </w:pPr>
            <w:r w:rsidRPr="00EF0798">
              <w:rPr>
                <w:rFonts w:ascii="Times New Roman" w:hAnsi="Times New Roman" w:cs="Times New Roman"/>
                <w:sz w:val="16"/>
                <w:szCs w:val="16"/>
              </w:rPr>
              <w:t>1,7</w:t>
            </w:r>
          </w:p>
        </w:tc>
        <w:tc>
          <w:tcPr>
            <w:tcW w:w="792" w:type="dxa"/>
            <w:tcBorders>
              <w:top w:val="nil"/>
              <w:left w:val="nil"/>
              <w:bottom w:val="double" w:sz="6" w:space="0" w:color="auto"/>
              <w:right w:val="nil"/>
            </w:tcBorders>
            <w:vAlign w:val="bottom"/>
          </w:tcPr>
          <w:p w:rsidR="00EF0798" w:rsidRPr="00EF0798" w:rsidRDefault="00EF0798">
            <w:pPr>
              <w:jc w:val="right"/>
              <w:rPr>
                <w:rFonts w:ascii="Times New Roman" w:hAnsi="Times New Roman" w:cs="Times New Roman"/>
                <w:sz w:val="16"/>
                <w:szCs w:val="16"/>
              </w:rPr>
            </w:pPr>
            <w:r w:rsidRPr="00EF0798">
              <w:rPr>
                <w:rFonts w:ascii="Times New Roman" w:hAnsi="Times New Roman" w:cs="Times New Roman"/>
                <w:sz w:val="16"/>
                <w:szCs w:val="16"/>
              </w:rPr>
              <w:t>1,9</w:t>
            </w:r>
          </w:p>
        </w:tc>
      </w:tr>
    </w:tbl>
    <w:p w:rsidR="003671B8" w:rsidRPr="00EF65B5" w:rsidRDefault="00207C99" w:rsidP="003671B8">
      <w:pPr>
        <w:ind w:left="-567"/>
        <w:rPr>
          <w:rFonts w:ascii="Times New Roman" w:hAnsi="Times New Roman" w:cs="Times New Roman"/>
          <w:bCs/>
          <w:sz w:val="16"/>
          <w:szCs w:val="16"/>
        </w:rPr>
      </w:pPr>
      <w:r w:rsidRPr="00207C99">
        <w:rPr>
          <w:rFonts w:ascii="Times New Roman" w:hAnsi="Times New Roman" w:cs="Times New Roman"/>
          <w:bCs/>
          <w:sz w:val="16"/>
          <w:szCs w:val="16"/>
        </w:rPr>
        <w:t xml:space="preserve">            </w:t>
      </w:r>
      <w:r w:rsidR="003671B8" w:rsidRPr="00EF65B5">
        <w:rPr>
          <w:rFonts w:ascii="Times New Roman" w:hAnsi="Times New Roman" w:cs="Times New Roman"/>
          <w:bCs/>
          <w:sz w:val="16"/>
          <w:szCs w:val="16"/>
          <w:u w:val="single"/>
        </w:rPr>
        <w:t>Sources</w:t>
      </w:r>
      <w:r w:rsidR="003671B8" w:rsidRPr="00EF65B5">
        <w:rPr>
          <w:rFonts w:ascii="Times New Roman" w:hAnsi="Times New Roman" w:cs="Times New Roman"/>
          <w:bCs/>
          <w:sz w:val="16"/>
          <w:szCs w:val="16"/>
        </w:rPr>
        <w:t> : INS et</w:t>
      </w:r>
      <w:r w:rsidR="00EA37C7">
        <w:rPr>
          <w:rFonts w:ascii="Times New Roman" w:hAnsi="Times New Roman" w:cs="Times New Roman"/>
          <w:bCs/>
          <w:sz w:val="16"/>
          <w:szCs w:val="16"/>
        </w:rPr>
        <w:t xml:space="preserve"> COMMISSION  de l’UEMOA, </w:t>
      </w:r>
      <w:r w:rsidR="00397D09">
        <w:rPr>
          <w:rFonts w:ascii="Times New Roman" w:hAnsi="Times New Roman" w:cs="Times New Roman"/>
          <w:bCs/>
          <w:sz w:val="16"/>
          <w:szCs w:val="16"/>
        </w:rPr>
        <w:t>décembre</w:t>
      </w:r>
      <w:r w:rsidR="003671B8" w:rsidRPr="00EF65B5">
        <w:rPr>
          <w:rFonts w:ascii="Times New Roman" w:hAnsi="Times New Roman" w:cs="Times New Roman"/>
          <w:bCs/>
          <w:sz w:val="16"/>
          <w:szCs w:val="16"/>
        </w:rPr>
        <w:t xml:space="preserve"> 2020</w:t>
      </w:r>
    </w:p>
    <w:p w:rsidR="00EF65B5" w:rsidRPr="00906677" w:rsidRDefault="00EF65B5" w:rsidP="003671B8">
      <w:pPr>
        <w:ind w:left="-567"/>
      </w:pPr>
    </w:p>
    <w:p w:rsidR="0080208F" w:rsidRDefault="0080208F" w:rsidP="00EF65B5">
      <w:pPr>
        <w:rPr>
          <w:rFonts w:ascii="Times New Roman" w:hAnsi="Times New Roman" w:cs="Times New Roman"/>
          <w:b/>
          <w:sz w:val="24"/>
          <w:szCs w:val="24"/>
        </w:rPr>
      </w:pPr>
    </w:p>
    <w:p w:rsidR="00636321" w:rsidRDefault="00636321" w:rsidP="00EF65B5">
      <w:pPr>
        <w:rPr>
          <w:rFonts w:ascii="Times New Roman" w:hAnsi="Times New Roman" w:cs="Times New Roman"/>
          <w:b/>
          <w:sz w:val="24"/>
          <w:szCs w:val="24"/>
        </w:rPr>
      </w:pPr>
    </w:p>
    <w:p w:rsidR="00FE0938" w:rsidRDefault="00FE0938" w:rsidP="00EF65B5">
      <w:pPr>
        <w:rPr>
          <w:rFonts w:ascii="Times New Roman" w:hAnsi="Times New Roman" w:cs="Times New Roman"/>
          <w:b/>
          <w:sz w:val="24"/>
          <w:szCs w:val="24"/>
        </w:rPr>
      </w:pPr>
    </w:p>
    <w:p w:rsidR="00EF0798" w:rsidRDefault="00EF0798" w:rsidP="00EF65B5">
      <w:pPr>
        <w:rPr>
          <w:rFonts w:ascii="Times New Roman" w:hAnsi="Times New Roman" w:cs="Times New Roman"/>
          <w:b/>
          <w:sz w:val="24"/>
          <w:szCs w:val="24"/>
        </w:rPr>
      </w:pPr>
    </w:p>
    <w:p w:rsidR="00FE0938" w:rsidRDefault="00FE0938" w:rsidP="00EF65B5">
      <w:pPr>
        <w:rPr>
          <w:rFonts w:ascii="Times New Roman" w:hAnsi="Times New Roman" w:cs="Times New Roman"/>
          <w:b/>
          <w:sz w:val="24"/>
          <w:szCs w:val="24"/>
        </w:rPr>
      </w:pPr>
    </w:p>
    <w:p w:rsidR="003671B8"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Tableau 7 :</w:t>
      </w:r>
      <w:r w:rsidR="00EA37C7">
        <w:rPr>
          <w:rFonts w:ascii="Times New Roman" w:hAnsi="Times New Roman" w:cs="Times New Roman"/>
          <w:b/>
          <w:sz w:val="24"/>
          <w:szCs w:val="24"/>
        </w:rPr>
        <w:t xml:space="preserve"> Indice groupe du mois de </w:t>
      </w:r>
      <w:r w:rsidR="00397D09">
        <w:rPr>
          <w:rFonts w:ascii="Times New Roman" w:hAnsi="Times New Roman" w:cs="Times New Roman"/>
          <w:b/>
          <w:sz w:val="24"/>
          <w:szCs w:val="24"/>
        </w:rPr>
        <w:t>décembre</w:t>
      </w:r>
      <w:r w:rsidRPr="00EF65B5">
        <w:rPr>
          <w:rFonts w:ascii="Times New Roman" w:hAnsi="Times New Roman" w:cs="Times New Roman"/>
          <w:b/>
          <w:sz w:val="24"/>
          <w:szCs w:val="24"/>
        </w:rPr>
        <w:t xml:space="preserve"> 2020</w:t>
      </w:r>
    </w:p>
    <w:tbl>
      <w:tblPr>
        <w:tblW w:w="9718" w:type="dxa"/>
        <w:tblInd w:w="70" w:type="dxa"/>
        <w:tblCellMar>
          <w:left w:w="70" w:type="dxa"/>
          <w:right w:w="70" w:type="dxa"/>
        </w:tblCellMar>
        <w:tblLook w:val="04A0"/>
      </w:tblPr>
      <w:tblGrid>
        <w:gridCol w:w="647"/>
        <w:gridCol w:w="3640"/>
        <w:gridCol w:w="481"/>
        <w:gridCol w:w="586"/>
        <w:gridCol w:w="662"/>
        <w:gridCol w:w="586"/>
        <w:gridCol w:w="662"/>
        <w:gridCol w:w="624"/>
        <w:gridCol w:w="576"/>
        <w:gridCol w:w="589"/>
        <w:gridCol w:w="665"/>
      </w:tblGrid>
      <w:tr w:rsidR="003671B8" w:rsidRPr="008F03D9" w:rsidTr="0080208F">
        <w:trPr>
          <w:trHeight w:val="240"/>
        </w:trPr>
        <w:tc>
          <w:tcPr>
            <w:tcW w:w="647" w:type="dxa"/>
            <w:tcBorders>
              <w:top w:val="single" w:sz="4" w:space="0" w:color="auto"/>
              <w:left w:val="single" w:sz="4" w:space="0" w:color="auto"/>
              <w:bottom w:val="nil"/>
              <w:right w:val="nil"/>
            </w:tcBorders>
            <w:shd w:val="clear" w:color="000000" w:fill="00FFFF"/>
            <w:noWrap/>
            <w:vAlign w:val="bottom"/>
            <w:hideMark/>
          </w:tcPr>
          <w:p w:rsidR="003671B8" w:rsidRPr="008F03D9" w:rsidRDefault="003671B8"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val="restart"/>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Indice groupe de la NCOA-IHPC</w:t>
            </w:r>
          </w:p>
        </w:tc>
        <w:tc>
          <w:tcPr>
            <w:tcW w:w="481" w:type="dxa"/>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 </w:t>
            </w:r>
          </w:p>
        </w:tc>
        <w:tc>
          <w:tcPr>
            <w:tcW w:w="3120" w:type="dxa"/>
            <w:gridSpan w:val="5"/>
            <w:tcBorders>
              <w:top w:val="single" w:sz="4" w:space="0" w:color="auto"/>
              <w:left w:val="nil"/>
              <w:bottom w:val="nil"/>
              <w:right w:val="nil"/>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 xml:space="preserve">Indices pour les mois de </w:t>
            </w:r>
          </w:p>
        </w:tc>
        <w:tc>
          <w:tcPr>
            <w:tcW w:w="1830" w:type="dxa"/>
            <w:gridSpan w:val="3"/>
            <w:tcBorders>
              <w:top w:val="single" w:sz="4" w:space="0" w:color="auto"/>
              <w:left w:val="nil"/>
              <w:bottom w:val="nil"/>
              <w:right w:val="single" w:sz="4" w:space="0" w:color="auto"/>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Variation en % depuis</w:t>
            </w:r>
          </w:p>
        </w:tc>
      </w:tr>
      <w:tr w:rsidR="003671B8" w:rsidRPr="008F03D9" w:rsidTr="0080208F">
        <w:trPr>
          <w:trHeight w:val="252"/>
        </w:trPr>
        <w:tc>
          <w:tcPr>
            <w:tcW w:w="647" w:type="dxa"/>
            <w:tcBorders>
              <w:top w:val="nil"/>
              <w:left w:val="single" w:sz="4" w:space="0" w:color="auto"/>
              <w:bottom w:val="nil"/>
              <w:right w:val="nil"/>
            </w:tcBorders>
            <w:shd w:val="clear" w:color="000000" w:fill="00FFFF"/>
            <w:hideMark/>
          </w:tcPr>
          <w:p w:rsidR="003671B8" w:rsidRPr="008F03D9" w:rsidRDefault="003671B8"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tcBorders>
              <w:top w:val="single" w:sz="4" w:space="0" w:color="auto"/>
              <w:left w:val="nil"/>
              <w:bottom w:val="nil"/>
              <w:right w:val="nil"/>
            </w:tcBorders>
            <w:vAlign w:val="center"/>
            <w:hideMark/>
          </w:tcPr>
          <w:p w:rsidR="003671B8" w:rsidRPr="008F03D9" w:rsidRDefault="003671B8" w:rsidP="003671B8">
            <w:pPr>
              <w:rPr>
                <w:rFonts w:ascii="Times New Roman" w:hAnsi="Times New Roman" w:cs="Times New Roman"/>
                <w:b/>
                <w:bCs/>
                <w:sz w:val="14"/>
                <w:szCs w:val="14"/>
              </w:rPr>
            </w:pPr>
          </w:p>
        </w:tc>
        <w:tc>
          <w:tcPr>
            <w:tcW w:w="481" w:type="dxa"/>
            <w:tcBorders>
              <w:top w:val="nil"/>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Poids</w:t>
            </w:r>
          </w:p>
        </w:tc>
        <w:tc>
          <w:tcPr>
            <w:tcW w:w="586" w:type="dxa"/>
            <w:tcBorders>
              <w:top w:val="nil"/>
              <w:left w:val="nil"/>
              <w:bottom w:val="nil"/>
              <w:right w:val="nil"/>
            </w:tcBorders>
            <w:shd w:val="clear" w:color="000000" w:fill="00FFFF"/>
            <w:vAlign w:val="bottom"/>
            <w:hideMark/>
          </w:tcPr>
          <w:p w:rsidR="003671B8" w:rsidRPr="008F03D9" w:rsidRDefault="00B0115D" w:rsidP="003671B8">
            <w:pPr>
              <w:jc w:val="center"/>
              <w:rPr>
                <w:rFonts w:ascii="Times New Roman" w:hAnsi="Times New Roman" w:cs="Times New Roman"/>
                <w:b/>
                <w:bCs/>
                <w:sz w:val="14"/>
                <w:szCs w:val="14"/>
              </w:rPr>
            </w:pPr>
            <w:r>
              <w:rPr>
                <w:rFonts w:ascii="Times New Roman" w:hAnsi="Times New Roman" w:cs="Times New Roman"/>
                <w:b/>
                <w:bCs/>
                <w:sz w:val="14"/>
                <w:szCs w:val="14"/>
              </w:rPr>
              <w:t>déc.</w:t>
            </w:r>
            <w:r w:rsidR="003671B8" w:rsidRPr="008F03D9">
              <w:rPr>
                <w:rFonts w:ascii="Times New Roman" w:hAnsi="Times New Roman" w:cs="Times New Roman"/>
                <w:b/>
                <w:bCs/>
                <w:sz w:val="14"/>
                <w:szCs w:val="14"/>
              </w:rPr>
              <w:t>-19</w:t>
            </w:r>
          </w:p>
        </w:tc>
        <w:tc>
          <w:tcPr>
            <w:tcW w:w="662" w:type="dxa"/>
            <w:tcBorders>
              <w:top w:val="nil"/>
              <w:left w:val="nil"/>
              <w:bottom w:val="nil"/>
              <w:right w:val="nil"/>
            </w:tcBorders>
            <w:shd w:val="clear" w:color="000000" w:fill="00FFFF"/>
            <w:vAlign w:val="bottom"/>
            <w:hideMark/>
          </w:tcPr>
          <w:p w:rsidR="003671B8" w:rsidRPr="008F03D9" w:rsidRDefault="00123C7B" w:rsidP="003671B8">
            <w:pPr>
              <w:jc w:val="center"/>
              <w:rPr>
                <w:rFonts w:ascii="Times New Roman" w:hAnsi="Times New Roman" w:cs="Times New Roman"/>
                <w:b/>
                <w:bCs/>
                <w:sz w:val="14"/>
                <w:szCs w:val="14"/>
              </w:rPr>
            </w:pPr>
            <w:r>
              <w:rPr>
                <w:rFonts w:ascii="Times New Roman" w:hAnsi="Times New Roman" w:cs="Times New Roman"/>
                <w:b/>
                <w:bCs/>
                <w:sz w:val="14"/>
                <w:szCs w:val="14"/>
              </w:rPr>
              <w:t>sept-20</w:t>
            </w:r>
          </w:p>
        </w:tc>
        <w:tc>
          <w:tcPr>
            <w:tcW w:w="586" w:type="dxa"/>
            <w:tcBorders>
              <w:top w:val="nil"/>
              <w:left w:val="nil"/>
              <w:bottom w:val="nil"/>
              <w:right w:val="nil"/>
            </w:tcBorders>
            <w:shd w:val="clear" w:color="000000" w:fill="00FFFF"/>
            <w:vAlign w:val="bottom"/>
            <w:hideMark/>
          </w:tcPr>
          <w:p w:rsidR="003671B8" w:rsidRPr="008F03D9" w:rsidRDefault="00123C7B" w:rsidP="003671B8">
            <w:pPr>
              <w:jc w:val="center"/>
              <w:rPr>
                <w:rFonts w:ascii="Times New Roman" w:hAnsi="Times New Roman" w:cs="Times New Roman"/>
                <w:b/>
                <w:bCs/>
                <w:sz w:val="14"/>
                <w:szCs w:val="14"/>
              </w:rPr>
            </w:pPr>
            <w:r>
              <w:rPr>
                <w:rFonts w:ascii="Times New Roman" w:hAnsi="Times New Roman" w:cs="Times New Roman"/>
                <w:b/>
                <w:bCs/>
                <w:sz w:val="14"/>
                <w:szCs w:val="14"/>
              </w:rPr>
              <w:t>oct</w:t>
            </w:r>
            <w:r w:rsidR="0080208F" w:rsidRPr="008F03D9">
              <w:rPr>
                <w:rFonts w:ascii="Times New Roman" w:hAnsi="Times New Roman" w:cs="Times New Roman"/>
                <w:b/>
                <w:bCs/>
                <w:sz w:val="14"/>
                <w:szCs w:val="14"/>
              </w:rPr>
              <w:t>-20</w:t>
            </w:r>
          </w:p>
        </w:tc>
        <w:tc>
          <w:tcPr>
            <w:tcW w:w="662" w:type="dxa"/>
            <w:tcBorders>
              <w:top w:val="nil"/>
              <w:left w:val="nil"/>
              <w:bottom w:val="nil"/>
              <w:right w:val="nil"/>
            </w:tcBorders>
            <w:shd w:val="clear" w:color="000000" w:fill="00FFFF"/>
            <w:vAlign w:val="bottom"/>
            <w:hideMark/>
          </w:tcPr>
          <w:p w:rsidR="003671B8" w:rsidRPr="008F03D9" w:rsidRDefault="00123C7B" w:rsidP="003671B8">
            <w:pPr>
              <w:jc w:val="center"/>
              <w:rPr>
                <w:rFonts w:ascii="Times New Roman" w:hAnsi="Times New Roman" w:cs="Times New Roman"/>
                <w:b/>
                <w:bCs/>
                <w:sz w:val="14"/>
                <w:szCs w:val="14"/>
              </w:rPr>
            </w:pPr>
            <w:r>
              <w:rPr>
                <w:rFonts w:ascii="Times New Roman" w:hAnsi="Times New Roman" w:cs="Times New Roman"/>
                <w:b/>
                <w:bCs/>
                <w:sz w:val="14"/>
                <w:szCs w:val="14"/>
              </w:rPr>
              <w:t>nov</w:t>
            </w:r>
            <w:r w:rsidR="0080208F" w:rsidRPr="008F03D9">
              <w:rPr>
                <w:rFonts w:ascii="Times New Roman" w:hAnsi="Times New Roman" w:cs="Times New Roman"/>
                <w:b/>
                <w:bCs/>
                <w:sz w:val="14"/>
                <w:szCs w:val="14"/>
              </w:rPr>
              <w:t>-20</w:t>
            </w:r>
          </w:p>
        </w:tc>
        <w:tc>
          <w:tcPr>
            <w:tcW w:w="624" w:type="dxa"/>
            <w:tcBorders>
              <w:top w:val="nil"/>
              <w:left w:val="nil"/>
              <w:bottom w:val="nil"/>
              <w:right w:val="nil"/>
            </w:tcBorders>
            <w:shd w:val="clear" w:color="000000" w:fill="00FFFF"/>
            <w:vAlign w:val="bottom"/>
            <w:hideMark/>
          </w:tcPr>
          <w:p w:rsidR="003671B8" w:rsidRPr="008F03D9" w:rsidRDefault="00123C7B" w:rsidP="003671B8">
            <w:pPr>
              <w:jc w:val="center"/>
              <w:rPr>
                <w:rFonts w:ascii="Times New Roman" w:hAnsi="Times New Roman" w:cs="Times New Roman"/>
                <w:b/>
                <w:bCs/>
                <w:sz w:val="14"/>
                <w:szCs w:val="14"/>
              </w:rPr>
            </w:pPr>
            <w:r>
              <w:rPr>
                <w:rFonts w:ascii="Times New Roman" w:hAnsi="Times New Roman" w:cs="Times New Roman"/>
                <w:b/>
                <w:bCs/>
                <w:sz w:val="14"/>
                <w:szCs w:val="14"/>
              </w:rPr>
              <w:t>déc</w:t>
            </w:r>
            <w:r w:rsidR="0080208F" w:rsidRPr="008F03D9">
              <w:rPr>
                <w:rFonts w:ascii="Times New Roman" w:hAnsi="Times New Roman" w:cs="Times New Roman"/>
                <w:b/>
                <w:bCs/>
                <w:sz w:val="14"/>
                <w:szCs w:val="14"/>
              </w:rPr>
              <w:t>.</w:t>
            </w:r>
            <w:r w:rsidR="003671B8" w:rsidRPr="008F03D9">
              <w:rPr>
                <w:rFonts w:ascii="Times New Roman" w:hAnsi="Times New Roman" w:cs="Times New Roman"/>
                <w:b/>
                <w:bCs/>
                <w:sz w:val="14"/>
                <w:szCs w:val="14"/>
              </w:rPr>
              <w:t>-20</w:t>
            </w:r>
          </w:p>
        </w:tc>
        <w:tc>
          <w:tcPr>
            <w:tcW w:w="576" w:type="dxa"/>
            <w:tcBorders>
              <w:top w:val="nil"/>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 mois</w:t>
            </w:r>
          </w:p>
        </w:tc>
        <w:tc>
          <w:tcPr>
            <w:tcW w:w="589" w:type="dxa"/>
            <w:tcBorders>
              <w:top w:val="nil"/>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3 mois</w:t>
            </w:r>
          </w:p>
        </w:tc>
        <w:tc>
          <w:tcPr>
            <w:tcW w:w="665" w:type="dxa"/>
            <w:tcBorders>
              <w:top w:val="nil"/>
              <w:left w:val="nil"/>
              <w:bottom w:val="nil"/>
              <w:right w:val="single" w:sz="4" w:space="0" w:color="auto"/>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12 mois</w:t>
            </w:r>
          </w:p>
        </w:tc>
      </w:tr>
      <w:tr w:rsidR="003671B8" w:rsidRPr="008F03D9" w:rsidTr="0080208F">
        <w:trPr>
          <w:trHeight w:val="21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Alimentation et boisson non alcoolisées</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011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Produits alimentaires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3695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96,9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102,3</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104,1</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102,9</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101,2</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-1,7%</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4,4%</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012</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Boissons non alcoolisees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color w:val="000000"/>
                <w:sz w:val="14"/>
                <w:szCs w:val="14"/>
              </w:rPr>
            </w:pPr>
            <w:r w:rsidRPr="008F03D9">
              <w:rPr>
                <w:rFonts w:ascii="Times New Roman" w:hAnsi="Times New Roman" w:cs="Times New Roman"/>
                <w:color w:val="000000"/>
                <w:sz w:val="14"/>
                <w:szCs w:val="14"/>
              </w:rPr>
              <w:t>56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103,3</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102,8</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102,7</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103,0</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1,4%</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Boissons alcoolisées, tabac et stupéfiant</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021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Boissons alcoolisees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44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103,3</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103,7</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103,8</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2,1%</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022</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Tabacs et stupefiants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12</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115,6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117,5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115,2</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118,7</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116,0</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-2,3%</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-1,3%</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0,3%</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Articles d'habillement et chaussures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031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Articles d'habillement</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446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105,1</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107,8</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108,4</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108,3</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108,9</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0,6%</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3,6%</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032</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Chaussures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63</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102,2</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106,5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107,1</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107,1</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107,3</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0,8%</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5,0%</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Logement, eau, électricité, gaz et autres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041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Loyers effectifs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300</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105,0</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104,7</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100,5</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-4,0%</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-4,3%</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-3,3%</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043</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Entretien et reparation des logements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48</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109,8</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109,9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106,7</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101,7</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-4,7%</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-7,4%</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-1,8%</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044</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Alimentation en eau et services divers lié au logement</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195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88,5</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86,0</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86,0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85,9</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82,5</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-4,0%</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-4,1%</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-6,8%</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045</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Electricite, gaz et autres combustibles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544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108,4</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112,1</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105,3</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103,2</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100,9</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-6,9%</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Meubles, articles de ménages et entretien</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051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Meubles , articles d'ameublement, tapis et autres revêtement</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38</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118,0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117,0</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117,0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116,9</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117,4</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0,4%</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-0,5%</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052</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Articles de ménage en textiles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101,5</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101,8</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0,8%</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2,0%</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053</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Appareils menagers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99,2</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99,4</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99,2</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054</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Verrerie, vaisselle et ustensiles de menage</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23</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105,4</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105,3</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106,2</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-0,6%</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055</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Outillage et autre matériel pour la maison et le jardin</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110,7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112,7</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112,6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111,9</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112,0</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-0,6%</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1,2%</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056</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Biens et services liés à l'entretien courant du foyer</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134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105,1</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104,2</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104,4</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-0,7%</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0,4%</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Santé</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061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Produits, appareils et matériels médicaux</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215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98,9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99,8</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99,6</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0,7%</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062</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Services ambulatoires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76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105,1</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108,5</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108,6</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3,3%</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063</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Services hospitaliers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165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102,7</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102,7</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102,9</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0,9%</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Transport</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071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Achat de véhicules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72</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97,2</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98,4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98,4</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98,6</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97,2</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-1,4%</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-1,2%</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072</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Dépenses d'utilisation des véhicules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669</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96,2</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95,8</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95,3</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94,3</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-2,0%</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-7,5%</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073</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Services de transport</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361</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129,0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143,7</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144,5</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144,0</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134,2</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-6,8%</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-6,6%</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4,0%</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Communication</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081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Services postaux</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100,9</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100,8</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100,8</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100,9</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0,9%</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082</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Matériel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43</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100,2</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102,9</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102,5</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102,5</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2,3%</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083</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Services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394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98,6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99,4</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99,4</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99,4</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0,8%</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Loisirs et cultures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091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Matériel audiovisuel, photographique et de traitement de l'image et du son</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20</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97,0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100,1</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99,8</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0,8%</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3,7%</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093</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Autres articles et matériel de loisirs, de jardinage et animaux</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7</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100,5</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101,8</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1,3%</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1,3%</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-0,1%</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094</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Services récréatifs et culturels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100,1</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99,4</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99,9</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101,1</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1,7%</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095</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Journaux, livres et articles de papeterie</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117</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101,4</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101,5</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1,2%</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0,7%</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096</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Forfaits touristiques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119,5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119,5</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119,5</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99,9</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-16,4%</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-16,4%</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0,3%</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Enseignements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101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Enseignement pré-élémentaire et primaire</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162</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107,5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108,2</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108,2</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108,0</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0,5%</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102</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Enseignement secondaire</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230</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99,8</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99,7</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99,5</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99,6</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99,5</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-0,3%</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104</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Enseignement supérieur</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106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100,5</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100,3</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100,4</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100,4</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100,4</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-0,1%</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105</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Enseignement post-secondaire non supérieur et Enseignement non défini par niveau</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66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104,9</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106,3</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106,4</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106,6</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106,6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1,6%</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Restaurants et hôtel</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111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Services de restauration</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1129</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105,1</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105,2</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102,9</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-1,6%</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1,2%</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112</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Services d'hébergement</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27</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94,7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97,8</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97,8</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97,8</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95,6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-2,2%</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w:t>
            </w:r>
          </w:p>
        </w:tc>
      </w:tr>
      <w:tr w:rsidR="00207C99"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Biens et services divers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rPr>
                <w:color w:val="000000"/>
                <w:sz w:val="12"/>
                <w:szCs w:val="12"/>
              </w:rPr>
            </w:pPr>
            <w:r>
              <w:rPr>
                <w:color w:val="000000"/>
                <w:sz w:val="12"/>
                <w:szCs w:val="12"/>
              </w:rPr>
              <w:t> </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121</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Soins corporels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281</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106,3</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109,6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111,7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116,0</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109,9</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-5,3%</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3,4%</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123</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vertAlign w:val="superscript"/>
              </w:rPr>
            </w:pPr>
            <w:r w:rsidRPr="008F03D9">
              <w:rPr>
                <w:rFonts w:ascii="Times New Roman" w:hAnsi="Times New Roman" w:cs="Times New Roman"/>
                <w:sz w:val="14"/>
                <w:szCs w:val="14"/>
              </w:rPr>
              <w:t>Effets personnels n.c.a</w:t>
            </w:r>
            <w:r w:rsidRPr="008F03D9">
              <w:rPr>
                <w:rFonts w:ascii="Times New Roman" w:hAnsi="Times New Roman" w:cs="Times New Roman"/>
                <w:sz w:val="14"/>
                <w:szCs w:val="14"/>
                <w:vertAlign w:val="superscript"/>
              </w:rPr>
              <w:t>*</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30</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104,4</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104,5</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105,8</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1,2%</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1,3%</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124</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Protection sociale et assurance</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92,6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94,1</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94,3</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94,4</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94,8</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0,4%</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0,7%</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2,4%</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126</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Services financiers</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19</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101,0</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101,6</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101,8</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102,1</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102,6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1,6%</w:t>
            </w:r>
          </w:p>
        </w:tc>
      </w:tr>
      <w:tr w:rsidR="00207C99"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127</w:t>
            </w:r>
          </w:p>
        </w:tc>
        <w:tc>
          <w:tcPr>
            <w:tcW w:w="3640"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rPr>
                <w:rFonts w:ascii="Times New Roman" w:hAnsi="Times New Roman" w:cs="Times New Roman"/>
                <w:sz w:val="14"/>
                <w:szCs w:val="14"/>
              </w:rPr>
            </w:pPr>
            <w:r w:rsidRPr="008F03D9">
              <w:rPr>
                <w:rFonts w:ascii="Times New Roman" w:hAnsi="Times New Roman" w:cs="Times New Roman"/>
                <w:sz w:val="14"/>
                <w:szCs w:val="14"/>
              </w:rPr>
              <w:t>Autres services n.c.a</w:t>
            </w:r>
          </w:p>
        </w:tc>
        <w:tc>
          <w:tcPr>
            <w:tcW w:w="481" w:type="dxa"/>
            <w:tcBorders>
              <w:top w:val="nil"/>
              <w:left w:val="nil"/>
              <w:bottom w:val="single" w:sz="4" w:space="0" w:color="auto"/>
              <w:right w:val="single" w:sz="4" w:space="0" w:color="auto"/>
            </w:tcBorders>
            <w:shd w:val="clear" w:color="auto" w:fill="auto"/>
            <w:noWrap/>
            <w:vAlign w:val="bottom"/>
            <w:hideMark/>
          </w:tcPr>
          <w:p w:rsidR="00207C99" w:rsidRPr="008F03D9" w:rsidRDefault="00207C99" w:rsidP="003671B8">
            <w:pPr>
              <w:jc w:val="right"/>
              <w:rPr>
                <w:rFonts w:ascii="Times New Roman" w:hAnsi="Times New Roman" w:cs="Times New Roman"/>
                <w:sz w:val="14"/>
                <w:szCs w:val="14"/>
              </w:rPr>
            </w:pPr>
            <w:r w:rsidRPr="008F03D9">
              <w:rPr>
                <w:rFonts w:ascii="Times New Roman" w:hAnsi="Times New Roman" w:cs="Times New Roman"/>
                <w:sz w:val="14"/>
                <w:szCs w:val="14"/>
              </w:rPr>
              <w:t>158</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106,6</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103,5</w:t>
            </w:r>
          </w:p>
        </w:tc>
        <w:tc>
          <w:tcPr>
            <w:tcW w:w="58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103,7</w:t>
            </w:r>
          </w:p>
        </w:tc>
        <w:tc>
          <w:tcPr>
            <w:tcW w:w="662"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104,0</w:t>
            </w:r>
          </w:p>
        </w:tc>
        <w:tc>
          <w:tcPr>
            <w:tcW w:w="624"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104,6</w:t>
            </w:r>
          </w:p>
        </w:tc>
        <w:tc>
          <w:tcPr>
            <w:tcW w:w="576"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0,6%</w:t>
            </w:r>
          </w:p>
        </w:tc>
        <w:tc>
          <w:tcPr>
            <w:tcW w:w="589"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1,1%</w:t>
            </w:r>
          </w:p>
        </w:tc>
        <w:tc>
          <w:tcPr>
            <w:tcW w:w="665" w:type="dxa"/>
            <w:tcBorders>
              <w:top w:val="nil"/>
              <w:left w:val="nil"/>
              <w:bottom w:val="single" w:sz="4" w:space="0" w:color="auto"/>
              <w:right w:val="single" w:sz="4" w:space="0" w:color="auto"/>
            </w:tcBorders>
            <w:shd w:val="clear" w:color="auto" w:fill="auto"/>
            <w:noWrap/>
            <w:vAlign w:val="bottom"/>
            <w:hideMark/>
          </w:tcPr>
          <w:p w:rsidR="00207C99" w:rsidRDefault="00207C99">
            <w:pPr>
              <w:jc w:val="right"/>
              <w:rPr>
                <w:color w:val="000000"/>
                <w:sz w:val="12"/>
                <w:szCs w:val="12"/>
              </w:rPr>
            </w:pPr>
            <w:r>
              <w:rPr>
                <w:color w:val="000000"/>
                <w:sz w:val="12"/>
                <w:szCs w:val="12"/>
              </w:rPr>
              <w:t>-1,9%</w:t>
            </w:r>
          </w:p>
        </w:tc>
      </w:tr>
    </w:tbl>
    <w:p w:rsidR="003671B8" w:rsidRPr="00F4774D" w:rsidRDefault="003671B8" w:rsidP="003671B8">
      <w:pPr>
        <w:spacing w:before="120"/>
        <w:rPr>
          <w:rFonts w:ascii="Times New Roman" w:hAnsi="Times New Roman" w:cs="Times New Roman"/>
          <w:sz w:val="14"/>
          <w:szCs w:val="14"/>
        </w:rPr>
      </w:pPr>
      <w:r w:rsidRPr="00F4774D">
        <w:rPr>
          <w:rFonts w:ascii="Times New Roman" w:hAnsi="Times New Roman" w:cs="Times New Roman"/>
          <w:sz w:val="12"/>
          <w:szCs w:val="12"/>
        </w:rPr>
        <w:t>*</w:t>
      </w:r>
      <w:r w:rsidRPr="00F4774D">
        <w:rPr>
          <w:rFonts w:ascii="Times New Roman" w:hAnsi="Times New Roman" w:cs="Times New Roman"/>
          <w:sz w:val="14"/>
          <w:szCs w:val="14"/>
        </w:rPr>
        <w:t>n.c.a : non classés ailleurs.</w:t>
      </w:r>
    </w:p>
    <w:p w:rsidR="003671B8" w:rsidRPr="00F4774D" w:rsidRDefault="003671B8" w:rsidP="003671B8">
      <w:pPr>
        <w:spacing w:before="120"/>
        <w:rPr>
          <w:rFonts w:ascii="Times New Roman" w:hAnsi="Times New Roman" w:cs="Times New Roman"/>
          <w:bCs/>
          <w:sz w:val="16"/>
          <w:szCs w:val="16"/>
        </w:rPr>
      </w:pPr>
      <w:r w:rsidRPr="00F4774D">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397D09">
        <w:rPr>
          <w:rFonts w:ascii="Times New Roman" w:hAnsi="Times New Roman" w:cs="Times New Roman"/>
          <w:bCs/>
          <w:sz w:val="16"/>
          <w:szCs w:val="16"/>
        </w:rPr>
        <w:t>décembre</w:t>
      </w:r>
      <w:r w:rsidRPr="00F4774D">
        <w:rPr>
          <w:rFonts w:ascii="Times New Roman" w:hAnsi="Times New Roman" w:cs="Times New Roman"/>
          <w:bCs/>
          <w:sz w:val="16"/>
          <w:szCs w:val="16"/>
        </w:rPr>
        <w:t xml:space="preserve"> 2020</w:t>
      </w:r>
    </w:p>
    <w:p w:rsidR="003671B8" w:rsidRPr="003A5D60" w:rsidRDefault="003671B8" w:rsidP="003671B8">
      <w:pPr>
        <w:spacing w:before="120"/>
        <w:rPr>
          <w:sz w:val="14"/>
          <w:szCs w:val="14"/>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r w:rsidRPr="00EF65B5">
        <w:rPr>
          <w:rFonts w:ascii="Times New Roman" w:hAnsi="Times New Roman" w:cs="Times New Roman"/>
          <w:b/>
          <w:bCs/>
          <w:sz w:val="16"/>
          <w:szCs w:val="16"/>
        </w:rPr>
        <w:t>Institut National de la Statistique et de l’Analyse Economique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01 BP 323 Cotonou, Tél. (229) 21 30 82 44 /21 30 82 45, Fax: (229) 21 30 82 46</w:t>
      </w:r>
    </w:p>
    <w:p w:rsidR="003671B8"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Directeur Général : HOUNSA Laurent Mahounou</w:t>
      </w:r>
    </w:p>
    <w:p w:rsidR="00360546" w:rsidRPr="00EF65B5" w:rsidRDefault="00360546"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Pr>
          <w:rFonts w:ascii="Times New Roman" w:hAnsi="Times New Roman" w:cs="Times New Roman"/>
          <w:sz w:val="16"/>
          <w:szCs w:val="16"/>
        </w:rPr>
        <w:t>Directeur Général Adjoint : DAGA Jules</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Directrice des Statistiques Sociales : AHOVEY A. Elise C.</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rPr>
          <w:rFonts w:ascii="Times New Roman" w:hAnsi="Times New Roman" w:cs="Times New Roman"/>
          <w:sz w:val="16"/>
          <w:szCs w:val="16"/>
        </w:rPr>
      </w:pPr>
      <w:r w:rsidRPr="00EF65B5">
        <w:rPr>
          <w:rFonts w:ascii="Times New Roman" w:hAnsi="Times New Roman" w:cs="Times New Roman"/>
          <w:sz w:val="16"/>
          <w:szCs w:val="16"/>
        </w:rPr>
        <w:t>Chef Service des Conditions de Vie des Ménages : DANSOU</w:t>
      </w:r>
      <w:r w:rsidR="00EF65B5">
        <w:rPr>
          <w:rFonts w:ascii="Times New Roman" w:hAnsi="Times New Roman" w:cs="Times New Roman"/>
          <w:sz w:val="16"/>
          <w:szCs w:val="16"/>
        </w:rPr>
        <w:t xml:space="preserve"> A. T.</w:t>
      </w:r>
      <w:r w:rsidRPr="00EF65B5">
        <w:rPr>
          <w:rFonts w:ascii="Times New Roman" w:hAnsi="Times New Roman" w:cs="Times New Roman"/>
          <w:sz w:val="16"/>
          <w:szCs w:val="16"/>
        </w:rPr>
        <w:t xml:space="preserve"> Sylvestre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Collaborateur : AKOHONWE D. Marcel</w:t>
      </w:r>
    </w:p>
    <w:p w:rsidR="003671B8" w:rsidRPr="003671B8" w:rsidRDefault="003671B8" w:rsidP="003671B8"/>
    <w:sectPr w:rsidR="003671B8" w:rsidRPr="003671B8" w:rsidSect="007F5C5D">
      <w:footerReference w:type="default" r:id="rId12"/>
      <w:pgSz w:w="11906" w:h="16838"/>
      <w:pgMar w:top="284" w:right="1134" w:bottom="993"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1B6" w:rsidRDefault="00CB71B6">
      <w:r>
        <w:separator/>
      </w:r>
    </w:p>
  </w:endnote>
  <w:endnote w:type="continuationSeparator" w:id="1">
    <w:p w:rsidR="00CB71B6" w:rsidRDefault="00CB71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E4" w:rsidRDefault="00BF08E4" w:rsidP="003671B8">
    <w:pPr>
      <w:pStyle w:val="Pieddepage"/>
      <w:pBdr>
        <w:bottom w:val="thinThickSmallGap" w:sz="24" w:space="1" w:color="339966"/>
      </w:pBdr>
      <w:rPr>
        <w:lang w:val="en-US"/>
      </w:rPr>
    </w:pPr>
  </w:p>
  <w:p w:rsidR="00BF08E4" w:rsidRPr="00262D3A" w:rsidRDefault="00BF08E4" w:rsidP="007F5C5D">
    <w:pPr>
      <w:pStyle w:val="Pieddepage"/>
      <w:tabs>
        <w:tab w:val="left" w:pos="6096"/>
        <w:tab w:val="left" w:pos="6379"/>
      </w:tabs>
      <w:rPr>
        <w:rFonts w:ascii="Montserrat Light" w:hAnsi="Montserrat Light"/>
        <w:sz w:val="16"/>
        <w:szCs w:val="16"/>
      </w:rPr>
    </w:pPr>
    <w:r w:rsidRPr="00262D3A">
      <w:rPr>
        <w:rFonts w:ascii="Montserrat Light" w:hAnsi="Montserrat Light"/>
        <w:sz w:val="16"/>
        <w:szCs w:val="16"/>
      </w:rPr>
      <w:t xml:space="preserve">Téléphone : 21-30-82-44                01 B.P. : 323 </w:t>
    </w:r>
    <w:r w:rsidRPr="00262D3A">
      <w:rPr>
        <w:rFonts w:ascii="Montserrat Light" w:hAnsi="Montserrat Light"/>
        <w:sz w:val="16"/>
        <w:szCs w:val="16"/>
        <w:lang w:val="pt-PT"/>
      </w:rPr>
      <w:t>COTONOU - BENIN</w:t>
    </w:r>
    <w:r w:rsidRPr="00262D3A">
      <w:rPr>
        <w:rFonts w:ascii="Montserrat Light" w:hAnsi="Montserrat Light"/>
        <w:sz w:val="16"/>
        <w:szCs w:val="16"/>
      </w:rPr>
      <w:t xml:space="preserve">                                 IFU : 4201001686513                      </w:t>
    </w:r>
  </w:p>
  <w:p w:rsidR="00BF08E4" w:rsidRPr="00D27E57" w:rsidRDefault="00BF08E4" w:rsidP="007A2730">
    <w:pPr>
      <w:pStyle w:val="Pieddepage"/>
      <w:tabs>
        <w:tab w:val="left" w:pos="6096"/>
        <w:tab w:val="left" w:pos="6379"/>
      </w:tabs>
      <w:rPr>
        <w:sz w:val="18"/>
        <w:szCs w:val="18"/>
      </w:rPr>
    </w:pPr>
    <w:r w:rsidRPr="00262D3A">
      <w:rPr>
        <w:rFonts w:ascii="Montserrat Light" w:hAnsi="Montserrat Light"/>
        <w:sz w:val="16"/>
        <w:szCs w:val="16"/>
        <w:lang w:val="pt-PT"/>
      </w:rPr>
      <w:t xml:space="preserve">                    21-30-82-45                     E-mail : </w:t>
    </w:r>
    <w:hyperlink r:id="rId1" w:history="1">
      <w:r w:rsidR="00280942" w:rsidRPr="00AB45D7">
        <w:rPr>
          <w:rStyle w:val="Lienhypertexte"/>
          <w:rFonts w:ascii="Montserrat Light" w:hAnsi="Montserrat Light"/>
          <w:sz w:val="16"/>
          <w:szCs w:val="16"/>
          <w:lang w:val="pt-PT"/>
        </w:rPr>
        <w:t>insae@insae.bj</w:t>
      </w:r>
    </w:hyperlink>
    <w:r w:rsidR="00280942" w:rsidRPr="00280942">
      <w:rPr>
        <w:rFonts w:ascii="Montserrat Light" w:hAnsi="Montserrat Light"/>
        <w:sz w:val="16"/>
        <w:szCs w:val="16"/>
        <w:lang w:val="pt-PT"/>
      </w:rPr>
      <w:t xml:space="preserve">                                      </w:t>
    </w:r>
    <w:r w:rsidRPr="00262D3A">
      <w:rPr>
        <w:rFonts w:ascii="Montserrat Light" w:hAnsi="Montserrat Light"/>
        <w:sz w:val="16"/>
        <w:szCs w:val="16"/>
      </w:rPr>
      <w:t xml:space="preserve">Site Web : </w:t>
    </w:r>
    <w:r w:rsidRPr="0062689B">
      <w:rPr>
        <w:rFonts w:ascii="Montserrat Light" w:hAnsi="Montserrat Light"/>
        <w:sz w:val="16"/>
        <w:szCs w:val="16"/>
        <w:u w:val="single"/>
      </w:rPr>
      <w:t>www.insae.bj</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1B6" w:rsidRDefault="00CB71B6">
      <w:r>
        <w:separator/>
      </w:r>
    </w:p>
  </w:footnote>
  <w:footnote w:type="continuationSeparator" w:id="1">
    <w:p w:rsidR="00CB71B6" w:rsidRDefault="00CB71B6">
      <w:r>
        <w:continuationSeparator/>
      </w:r>
    </w:p>
  </w:footnote>
  <w:footnote w:id="2">
    <w:p w:rsidR="00BF08E4" w:rsidRPr="00091BE3" w:rsidRDefault="00BF08E4" w:rsidP="003671B8">
      <w:pPr>
        <w:pStyle w:val="Notedebasdepage"/>
        <w:rPr>
          <w:sz w:val="16"/>
          <w:szCs w:val="16"/>
        </w:rPr>
      </w:pPr>
      <w:r w:rsidRPr="00EB2CCF">
        <w:rPr>
          <w:rStyle w:val="Appelnotedebasdep"/>
          <w:sz w:val="16"/>
          <w:szCs w:val="16"/>
        </w:rPr>
        <w:footnoteRef/>
      </w:r>
      <w:r w:rsidRPr="00EB2CCF">
        <w:rPr>
          <w:b/>
          <w:sz w:val="16"/>
          <w:szCs w:val="16"/>
        </w:rPr>
        <w:t>L’indicateur de convergence</w:t>
      </w:r>
      <w:r w:rsidRPr="00EB2CCF">
        <w:rPr>
          <w:sz w:val="16"/>
          <w:szCs w:val="16"/>
        </w:rPr>
        <w:t xml:space="preserve"> est le rapport entre la moyenne des indices des douze derniers mois et la moyenne des indices des douze mois qui les précèdent</w:t>
      </w:r>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37A8"/>
    <w:multiLevelType w:val="hybridMultilevel"/>
    <w:tmpl w:val="B5F04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FF7127"/>
    <w:multiLevelType w:val="hybridMultilevel"/>
    <w:tmpl w:val="504CFD48"/>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6AC"/>
    <w:multiLevelType w:val="hybridMultilevel"/>
    <w:tmpl w:val="F2762F0C"/>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D224B1"/>
    <w:multiLevelType w:val="hybridMultilevel"/>
    <w:tmpl w:val="8EC2352A"/>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233B20"/>
    <w:multiLevelType w:val="hybridMultilevel"/>
    <w:tmpl w:val="F014D140"/>
    <w:lvl w:ilvl="0" w:tplc="53F4202C">
      <w:start w:val="1"/>
      <w:numFmt w:val="bullet"/>
      <w:lvlText w:val="-"/>
      <w:lvlJc w:val="left"/>
      <w:pPr>
        <w:ind w:left="720" w:hanging="360"/>
      </w:pPr>
      <w:rPr>
        <w:rFonts w:ascii="Sitka Text" w:hAnsi="Sitka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03692E"/>
    <w:multiLevelType w:val="hybridMultilevel"/>
    <w:tmpl w:val="C816678E"/>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9F19A6"/>
    <w:multiLevelType w:val="hybridMultilevel"/>
    <w:tmpl w:val="582A9586"/>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364437"/>
    <w:rsid w:val="000323F2"/>
    <w:rsid w:val="00052360"/>
    <w:rsid w:val="00070A4E"/>
    <w:rsid w:val="00075822"/>
    <w:rsid w:val="000B20B0"/>
    <w:rsid w:val="000B537B"/>
    <w:rsid w:val="001006AD"/>
    <w:rsid w:val="00104905"/>
    <w:rsid w:val="00104AC7"/>
    <w:rsid w:val="00123C7B"/>
    <w:rsid w:val="00154BDD"/>
    <w:rsid w:val="00186229"/>
    <w:rsid w:val="00195FF9"/>
    <w:rsid w:val="001A3E20"/>
    <w:rsid w:val="001A60CB"/>
    <w:rsid w:val="001B2909"/>
    <w:rsid w:val="001C3A4D"/>
    <w:rsid w:val="00205F6C"/>
    <w:rsid w:val="00207C99"/>
    <w:rsid w:val="00211BED"/>
    <w:rsid w:val="002213B9"/>
    <w:rsid w:val="00235369"/>
    <w:rsid w:val="0023597F"/>
    <w:rsid w:val="00262D3A"/>
    <w:rsid w:val="002661DB"/>
    <w:rsid w:val="00280942"/>
    <w:rsid w:val="002C4BBA"/>
    <w:rsid w:val="002E26B4"/>
    <w:rsid w:val="003022A6"/>
    <w:rsid w:val="003256CC"/>
    <w:rsid w:val="003325FE"/>
    <w:rsid w:val="00334286"/>
    <w:rsid w:val="00356D08"/>
    <w:rsid w:val="00360546"/>
    <w:rsid w:val="00364437"/>
    <w:rsid w:val="003671B8"/>
    <w:rsid w:val="00397D09"/>
    <w:rsid w:val="003A7171"/>
    <w:rsid w:val="003B1E9B"/>
    <w:rsid w:val="003B5C79"/>
    <w:rsid w:val="003D1F89"/>
    <w:rsid w:val="003F7A38"/>
    <w:rsid w:val="0040497C"/>
    <w:rsid w:val="0042781F"/>
    <w:rsid w:val="00450496"/>
    <w:rsid w:val="00451C49"/>
    <w:rsid w:val="00453753"/>
    <w:rsid w:val="004542EC"/>
    <w:rsid w:val="00456052"/>
    <w:rsid w:val="004577D5"/>
    <w:rsid w:val="00487666"/>
    <w:rsid w:val="004C0AB0"/>
    <w:rsid w:val="005034F5"/>
    <w:rsid w:val="005121E1"/>
    <w:rsid w:val="00553A9E"/>
    <w:rsid w:val="005758FB"/>
    <w:rsid w:val="00576C53"/>
    <w:rsid w:val="0058147B"/>
    <w:rsid w:val="00583CFA"/>
    <w:rsid w:val="00583FBC"/>
    <w:rsid w:val="005867FF"/>
    <w:rsid w:val="005C5AA9"/>
    <w:rsid w:val="005D4C2E"/>
    <w:rsid w:val="005E5B64"/>
    <w:rsid w:val="005E6324"/>
    <w:rsid w:val="005F31C6"/>
    <w:rsid w:val="00602416"/>
    <w:rsid w:val="0062689B"/>
    <w:rsid w:val="00630B86"/>
    <w:rsid w:val="00636321"/>
    <w:rsid w:val="00637FA0"/>
    <w:rsid w:val="006565B1"/>
    <w:rsid w:val="006940E4"/>
    <w:rsid w:val="006972F4"/>
    <w:rsid w:val="006D563C"/>
    <w:rsid w:val="006E2DEF"/>
    <w:rsid w:val="0071559D"/>
    <w:rsid w:val="00761BE6"/>
    <w:rsid w:val="007A2730"/>
    <w:rsid w:val="007A2F55"/>
    <w:rsid w:val="007B2C2C"/>
    <w:rsid w:val="007C7C6E"/>
    <w:rsid w:val="007D17BA"/>
    <w:rsid w:val="007E6837"/>
    <w:rsid w:val="007F5C5D"/>
    <w:rsid w:val="0080208F"/>
    <w:rsid w:val="00812092"/>
    <w:rsid w:val="0081467C"/>
    <w:rsid w:val="00831075"/>
    <w:rsid w:val="00873ED6"/>
    <w:rsid w:val="00890434"/>
    <w:rsid w:val="008D1DD5"/>
    <w:rsid w:val="008D49FD"/>
    <w:rsid w:val="008E620E"/>
    <w:rsid w:val="008F03D9"/>
    <w:rsid w:val="00930E3D"/>
    <w:rsid w:val="00952CE5"/>
    <w:rsid w:val="009615E2"/>
    <w:rsid w:val="00971549"/>
    <w:rsid w:val="0097441C"/>
    <w:rsid w:val="0097627D"/>
    <w:rsid w:val="00983E63"/>
    <w:rsid w:val="009B79F4"/>
    <w:rsid w:val="009D13C0"/>
    <w:rsid w:val="009D4B94"/>
    <w:rsid w:val="009E1CF0"/>
    <w:rsid w:val="009E7C4B"/>
    <w:rsid w:val="00A50E0E"/>
    <w:rsid w:val="00A55318"/>
    <w:rsid w:val="00AC011D"/>
    <w:rsid w:val="00B0115D"/>
    <w:rsid w:val="00B16003"/>
    <w:rsid w:val="00B54150"/>
    <w:rsid w:val="00B77B6B"/>
    <w:rsid w:val="00B8553D"/>
    <w:rsid w:val="00BD59F7"/>
    <w:rsid w:val="00BE28ED"/>
    <w:rsid w:val="00BF08E4"/>
    <w:rsid w:val="00C2412B"/>
    <w:rsid w:val="00C51117"/>
    <w:rsid w:val="00C75B0A"/>
    <w:rsid w:val="00C80059"/>
    <w:rsid w:val="00C86D58"/>
    <w:rsid w:val="00CA6611"/>
    <w:rsid w:val="00CB09E8"/>
    <w:rsid w:val="00CB71B6"/>
    <w:rsid w:val="00D06349"/>
    <w:rsid w:val="00D13313"/>
    <w:rsid w:val="00D20BC4"/>
    <w:rsid w:val="00D30AFA"/>
    <w:rsid w:val="00DA066E"/>
    <w:rsid w:val="00DA4FA7"/>
    <w:rsid w:val="00DE174A"/>
    <w:rsid w:val="00E2297F"/>
    <w:rsid w:val="00E30F76"/>
    <w:rsid w:val="00E44FB0"/>
    <w:rsid w:val="00E60E7F"/>
    <w:rsid w:val="00EA37C7"/>
    <w:rsid w:val="00EF0798"/>
    <w:rsid w:val="00EF4E7A"/>
    <w:rsid w:val="00EF65B5"/>
    <w:rsid w:val="00F054B0"/>
    <w:rsid w:val="00F4774D"/>
    <w:rsid w:val="00FD3299"/>
    <w:rsid w:val="00FE09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37"/>
    <w:pPr>
      <w:spacing w:after="0" w:line="240" w:lineRule="auto"/>
    </w:pPr>
    <w:rPr>
      <w:rFonts w:ascii="Calibri" w:eastAsia="Times New Roman" w:hAnsi="Calibri" w:cs="Calibri"/>
    </w:rPr>
  </w:style>
  <w:style w:type="paragraph" w:styleId="Titre1">
    <w:name w:val="heading 1"/>
    <w:basedOn w:val="Normal"/>
    <w:next w:val="Normal"/>
    <w:link w:val="Titre1Car"/>
    <w:uiPriority w:val="9"/>
    <w:qFormat/>
    <w:rsid w:val="003671B8"/>
    <w:pPr>
      <w:keepNext/>
      <w:spacing w:before="240" w:after="60"/>
      <w:outlineLvl w:val="0"/>
    </w:pPr>
    <w:rPr>
      <w:rFonts w:ascii="Cambria" w:hAnsi="Cambria" w:cs="Times New Roman"/>
      <w:b/>
      <w:bCs/>
      <w:kern w:val="32"/>
      <w:sz w:val="32"/>
      <w:szCs w:val="32"/>
      <w:lang w:val="fr-BE"/>
    </w:rPr>
  </w:style>
  <w:style w:type="paragraph" w:styleId="Titre2">
    <w:name w:val="heading 2"/>
    <w:basedOn w:val="Normal"/>
    <w:next w:val="Normal"/>
    <w:link w:val="Titre2Car"/>
    <w:uiPriority w:val="9"/>
    <w:unhideWhenUsed/>
    <w:qFormat/>
    <w:rsid w:val="003671B8"/>
    <w:pPr>
      <w:keepNext/>
      <w:spacing w:before="240" w:after="60"/>
      <w:outlineLvl w:val="1"/>
    </w:pPr>
    <w:rPr>
      <w:rFonts w:ascii="Cambria" w:hAnsi="Cambria" w:cs="Times New Roman"/>
      <w:b/>
      <w:bCs/>
      <w:i/>
      <w:iCs/>
      <w:sz w:val="28"/>
      <w:szCs w:val="28"/>
      <w:lang w:val="fr-BE"/>
    </w:rPr>
  </w:style>
  <w:style w:type="paragraph" w:styleId="Titre3">
    <w:name w:val="heading 3"/>
    <w:basedOn w:val="Normal"/>
    <w:link w:val="Titre3Car"/>
    <w:uiPriority w:val="9"/>
    <w:qFormat/>
    <w:rsid w:val="00364437"/>
    <w:pPr>
      <w:spacing w:before="100" w:beforeAutospacing="1" w:after="100" w:afterAutospacing="1"/>
      <w:outlineLvl w:val="2"/>
    </w:pPr>
    <w:rPr>
      <w:rFonts w:ascii="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671B8"/>
    <w:pPr>
      <w:keepNext/>
      <w:keepLines/>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3671B8"/>
    <w:pPr>
      <w:keepNext/>
      <w:keepLines/>
      <w:spacing w:before="20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uiPriority w:val="9"/>
    <w:semiHidden/>
    <w:unhideWhenUsed/>
    <w:qFormat/>
    <w:rsid w:val="007F5C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1B8"/>
    <w:rPr>
      <w:rFonts w:ascii="Cambria" w:eastAsia="Times New Roman" w:hAnsi="Cambria" w:cs="Times New Roman"/>
      <w:b/>
      <w:bCs/>
      <w:kern w:val="32"/>
      <w:sz w:val="32"/>
      <w:szCs w:val="32"/>
      <w:lang w:val="fr-BE"/>
    </w:rPr>
  </w:style>
  <w:style w:type="character" w:customStyle="1" w:styleId="Titre2Car">
    <w:name w:val="Titre 2 Car"/>
    <w:basedOn w:val="Policepardfaut"/>
    <w:link w:val="Titre2"/>
    <w:uiPriority w:val="9"/>
    <w:rsid w:val="003671B8"/>
    <w:rPr>
      <w:rFonts w:ascii="Cambria" w:eastAsia="Times New Roman" w:hAnsi="Cambria" w:cs="Times New Roman"/>
      <w:b/>
      <w:bCs/>
      <w:i/>
      <w:iCs/>
      <w:sz w:val="28"/>
      <w:szCs w:val="28"/>
      <w:lang w:val="fr-BE"/>
    </w:rPr>
  </w:style>
  <w:style w:type="character" w:customStyle="1" w:styleId="Titre3Car">
    <w:name w:val="Titre 3 Car"/>
    <w:basedOn w:val="Policepardfaut"/>
    <w:link w:val="Titre3"/>
    <w:uiPriority w:val="9"/>
    <w:rsid w:val="0036443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3671B8"/>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rsid w:val="003671B8"/>
    <w:rPr>
      <w:rFonts w:asciiTheme="majorHAnsi" w:eastAsiaTheme="majorEastAsia" w:hAnsiTheme="majorHAnsi" w:cstheme="majorBidi"/>
      <w:color w:val="1F4D78" w:themeColor="accent1" w:themeShade="7F"/>
    </w:rPr>
  </w:style>
  <w:style w:type="character" w:customStyle="1" w:styleId="Titre8Car">
    <w:name w:val="Titre 8 Car"/>
    <w:basedOn w:val="Policepardfaut"/>
    <w:link w:val="Titre8"/>
    <w:rsid w:val="007F5C5D"/>
    <w:rPr>
      <w:rFonts w:asciiTheme="majorHAnsi" w:eastAsiaTheme="majorEastAsia" w:hAnsiTheme="majorHAnsi" w:cstheme="majorBidi"/>
      <w:color w:val="272727" w:themeColor="text1" w:themeTint="D8"/>
      <w:sz w:val="21"/>
      <w:szCs w:val="21"/>
    </w:rPr>
  </w:style>
  <w:style w:type="paragraph" w:styleId="Pieddepage">
    <w:name w:val="footer"/>
    <w:basedOn w:val="Normal"/>
    <w:link w:val="PieddepageCar"/>
    <w:uiPriority w:val="99"/>
    <w:rsid w:val="00364437"/>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364437"/>
    <w:rPr>
      <w:rFonts w:ascii="Calibri" w:eastAsia="Times New Roman" w:hAnsi="Calibri" w:cs="Times New Roman"/>
      <w:sz w:val="20"/>
      <w:szCs w:val="20"/>
    </w:rPr>
  </w:style>
  <w:style w:type="character" w:styleId="Lienhypertexte">
    <w:name w:val="Hyperlink"/>
    <w:rsid w:val="00364437"/>
    <w:rPr>
      <w:color w:val="0000FF"/>
      <w:u w:val="single"/>
    </w:rPr>
  </w:style>
  <w:style w:type="paragraph" w:styleId="Paragraphedeliste">
    <w:name w:val="List Paragraph"/>
    <w:basedOn w:val="Normal"/>
    <w:uiPriority w:val="34"/>
    <w:qFormat/>
    <w:rsid w:val="00930E3D"/>
    <w:pPr>
      <w:ind w:left="720"/>
      <w:contextualSpacing/>
    </w:pPr>
  </w:style>
  <w:style w:type="paragraph" w:styleId="Textedebulles">
    <w:name w:val="Balloon Text"/>
    <w:basedOn w:val="Normal"/>
    <w:link w:val="TextedebullesCar"/>
    <w:uiPriority w:val="99"/>
    <w:semiHidden/>
    <w:unhideWhenUsed/>
    <w:rsid w:val="00EF4E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E7A"/>
    <w:rPr>
      <w:rFonts w:ascii="Segoe UI" w:eastAsia="Times New Roman" w:hAnsi="Segoe UI" w:cs="Segoe UI"/>
      <w:sz w:val="18"/>
      <w:szCs w:val="18"/>
    </w:rPr>
  </w:style>
  <w:style w:type="paragraph" w:styleId="Corpsdetexte2">
    <w:name w:val="Body Text 2"/>
    <w:basedOn w:val="Normal"/>
    <w:link w:val="Corpsdetexte2Car"/>
    <w:uiPriority w:val="99"/>
    <w:unhideWhenUsed/>
    <w:rsid w:val="00BE28ED"/>
    <w:pPr>
      <w:spacing w:after="120" w:line="480" w:lineRule="auto"/>
    </w:pPr>
    <w:rPr>
      <w:rFonts w:cs="Times New Roman"/>
    </w:rPr>
  </w:style>
  <w:style w:type="character" w:customStyle="1" w:styleId="Corpsdetexte2Car">
    <w:name w:val="Corps de texte 2 Car"/>
    <w:basedOn w:val="Policepardfaut"/>
    <w:link w:val="Corpsdetexte2"/>
    <w:uiPriority w:val="99"/>
    <w:rsid w:val="00BE28ED"/>
    <w:rPr>
      <w:rFonts w:ascii="Calibri" w:eastAsia="Times New Roman" w:hAnsi="Calibri" w:cs="Times New Roman"/>
    </w:rPr>
  </w:style>
  <w:style w:type="paragraph" w:styleId="En-tte">
    <w:name w:val="header"/>
    <w:basedOn w:val="Normal"/>
    <w:link w:val="En-tteCar"/>
    <w:uiPriority w:val="99"/>
    <w:unhideWhenUsed/>
    <w:rsid w:val="00BE28ED"/>
    <w:pPr>
      <w:tabs>
        <w:tab w:val="center" w:pos="4536"/>
        <w:tab w:val="right" w:pos="9072"/>
      </w:tabs>
    </w:pPr>
  </w:style>
  <w:style w:type="character" w:customStyle="1" w:styleId="En-tteCar">
    <w:name w:val="En-tête Car"/>
    <w:basedOn w:val="Policepardfaut"/>
    <w:link w:val="En-tte"/>
    <w:uiPriority w:val="99"/>
    <w:rsid w:val="00BE28ED"/>
    <w:rPr>
      <w:rFonts w:ascii="Calibri" w:eastAsia="Times New Roman" w:hAnsi="Calibri" w:cs="Calibri"/>
    </w:rPr>
  </w:style>
  <w:style w:type="paragraph" w:styleId="En-ttedetabledesmatires">
    <w:name w:val="TOC Heading"/>
    <w:basedOn w:val="Titre1"/>
    <w:next w:val="Normal"/>
    <w:uiPriority w:val="39"/>
    <w:unhideWhenUsed/>
    <w:qFormat/>
    <w:rsid w:val="003671B8"/>
    <w:pPr>
      <w:keepLines/>
      <w:spacing w:before="480" w:after="0"/>
      <w:outlineLvl w:val="9"/>
    </w:pPr>
    <w:rPr>
      <w:color w:val="365F91"/>
      <w:kern w:val="0"/>
      <w:sz w:val="28"/>
      <w:szCs w:val="28"/>
    </w:rPr>
  </w:style>
  <w:style w:type="paragraph" w:customStyle="1" w:styleId="TTTT">
    <w:name w:val="TTTT"/>
    <w:basedOn w:val="Normal"/>
    <w:qFormat/>
    <w:rsid w:val="003671B8"/>
    <w:pPr>
      <w:pBdr>
        <w:bottom w:val="thickThinSmallGap" w:sz="24" w:space="1" w:color="auto"/>
      </w:pBdr>
      <w:jc w:val="center"/>
    </w:pPr>
    <w:rPr>
      <w:rFonts w:ascii="Times New Roman" w:hAnsi="Times New Roman" w:cs="Times New Roman"/>
      <w:b/>
      <w:sz w:val="32"/>
      <w:szCs w:val="40"/>
      <w:lang w:eastAsia="fr-FR"/>
    </w:rPr>
  </w:style>
  <w:style w:type="paragraph" w:customStyle="1" w:styleId="TITRE10">
    <w:name w:val="TITRE1"/>
    <w:basedOn w:val="Normal"/>
    <w:qFormat/>
    <w:rsid w:val="003671B8"/>
    <w:pPr>
      <w:spacing w:line="360" w:lineRule="auto"/>
      <w:ind w:left="1035" w:hanging="495"/>
      <w:jc w:val="both"/>
    </w:pPr>
    <w:rPr>
      <w:rFonts w:ascii="Times New Roman" w:hAnsi="Times New Roman" w:cs="Times New Roman"/>
      <w:b/>
      <w:sz w:val="26"/>
      <w:szCs w:val="26"/>
      <w:lang w:eastAsia="fr-FR"/>
    </w:rPr>
  </w:style>
  <w:style w:type="paragraph" w:styleId="Lgende">
    <w:name w:val="caption"/>
    <w:basedOn w:val="Normal"/>
    <w:next w:val="Normal"/>
    <w:uiPriority w:val="35"/>
    <w:unhideWhenUsed/>
    <w:qFormat/>
    <w:rsid w:val="003671B8"/>
    <w:rPr>
      <w:rFonts w:ascii="Times New Roman" w:hAnsi="Times New Roman" w:cs="Times New Roman"/>
      <w:b/>
      <w:bCs/>
      <w:sz w:val="20"/>
      <w:szCs w:val="20"/>
      <w:lang w:eastAsia="fr-FR"/>
    </w:rPr>
  </w:style>
  <w:style w:type="paragraph" w:styleId="Citation">
    <w:name w:val="Quote"/>
    <w:aliases w:val="Tableau"/>
    <w:basedOn w:val="Normal"/>
    <w:next w:val="Normal"/>
    <w:link w:val="CitationCar"/>
    <w:uiPriority w:val="29"/>
    <w:qFormat/>
    <w:rsid w:val="003671B8"/>
    <w:rPr>
      <w:rFonts w:ascii="Arial" w:eastAsia="Calibri" w:hAnsi="Arial" w:cs="Times New Roman"/>
      <w:iCs/>
      <w:color w:val="FFFFFF"/>
      <w:sz w:val="20"/>
      <w:lang w:val="fr-BE"/>
    </w:rPr>
  </w:style>
  <w:style w:type="character" w:customStyle="1" w:styleId="CitationCar">
    <w:name w:val="Citation Car"/>
    <w:aliases w:val="Tableau Car"/>
    <w:basedOn w:val="Policepardfaut"/>
    <w:link w:val="Citation"/>
    <w:uiPriority w:val="29"/>
    <w:rsid w:val="003671B8"/>
    <w:rPr>
      <w:rFonts w:ascii="Arial" w:eastAsia="Calibri" w:hAnsi="Arial" w:cs="Times New Roman"/>
      <w:iCs/>
      <w:color w:val="FFFFFF"/>
      <w:sz w:val="20"/>
      <w:lang w:val="fr-BE"/>
    </w:rPr>
  </w:style>
  <w:style w:type="paragraph" w:styleId="Tabledesillustrations">
    <w:name w:val="table of figures"/>
    <w:basedOn w:val="Normal"/>
    <w:next w:val="Normal"/>
    <w:uiPriority w:val="99"/>
    <w:unhideWhenUsed/>
    <w:rsid w:val="003671B8"/>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rsid w:val="003671B8"/>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3671B8"/>
    <w:rPr>
      <w:rFonts w:ascii="Times New Roman" w:eastAsia="Times New Roman" w:hAnsi="Times New Roman" w:cs="Times New Roman"/>
      <w:sz w:val="20"/>
      <w:szCs w:val="20"/>
      <w:lang w:eastAsia="fr-FR"/>
    </w:rPr>
  </w:style>
  <w:style w:type="character" w:styleId="Appelnotedebasdep">
    <w:name w:val="footnote reference"/>
    <w:uiPriority w:val="99"/>
    <w:semiHidden/>
    <w:rsid w:val="003671B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sae@insae.b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vice%20Prix\Desktop\INHPC\D&#233;cembre%202020\Fichier%20publication%20IHP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vice%20Prix\Desktop\INHPC\D&#233;cembre%202020\Fichier%20publication%20IHP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vice%20Prix\Desktop\INHPC\D&#233;cembre%202020\Fichier%20publication%20IHP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vice%20Prix\Desktop\INHPC\D&#233;cembre%202020\Fichier%20publication%20IH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3888910761154855"/>
          <c:y val="3.703703703703707E-2"/>
          <c:w val="0.78654935737182163"/>
          <c:h val="0.61693061274982164"/>
        </c:manualLayout>
      </c:layout>
      <c:lineChart>
        <c:grouping val="standard"/>
        <c:ser>
          <c:idx val="0"/>
          <c:order val="0"/>
          <c:tx>
            <c:strRef>
              <c:f>'Indice global et IHPFE'!$A$2</c:f>
              <c:strCache>
                <c:ptCount val="1"/>
                <c:pt idx="0">
                  <c:v>indice global</c:v>
                </c:pt>
              </c:strCache>
            </c:strRef>
          </c:tx>
          <c:marker>
            <c:symbol val="none"/>
          </c:marker>
          <c:cat>
            <c:numRef>
              <c:f>'Indice global et IHPFE'!$B$1:$Z$1</c:f>
              <c:numCache>
                <c:formatCode>mmm\-yy</c:formatCode>
                <c:ptCount val="25"/>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numCache>
            </c:numRef>
          </c:cat>
          <c:val>
            <c:numRef>
              <c:f>'Indice global et IHPFE'!$B$2:$Z$2</c:f>
              <c:numCache>
                <c:formatCode>0</c:formatCode>
                <c:ptCount val="25"/>
                <c:pt idx="0">
                  <c:v>101.18007524999996</c:v>
                </c:pt>
                <c:pt idx="1">
                  <c:v>102.26635999999999</c:v>
                </c:pt>
                <c:pt idx="2">
                  <c:v>100.73168600000002</c:v>
                </c:pt>
                <c:pt idx="3">
                  <c:v>101.58196600000002</c:v>
                </c:pt>
                <c:pt idx="4">
                  <c:v>100.59786500000003</c:v>
                </c:pt>
                <c:pt idx="5">
                  <c:v>102.25299000000001</c:v>
                </c:pt>
                <c:pt idx="6">
                  <c:v>100.54781300000008</c:v>
                </c:pt>
                <c:pt idx="7">
                  <c:v>101.265495</c:v>
                </c:pt>
                <c:pt idx="8">
                  <c:v>100.13558900000001</c:v>
                </c:pt>
                <c:pt idx="9">
                  <c:v>99.654729999999986</c:v>
                </c:pt>
                <c:pt idx="10">
                  <c:v>100.45093699999998</c:v>
                </c:pt>
                <c:pt idx="11">
                  <c:v>102.25340300000002</c:v>
                </c:pt>
                <c:pt idx="12">
                  <c:v>101.45709400000003</c:v>
                </c:pt>
                <c:pt idx="13">
                  <c:v>103.13486300000002</c:v>
                </c:pt>
                <c:pt idx="14">
                  <c:v>104.17036799999995</c:v>
                </c:pt>
                <c:pt idx="15">
                  <c:v>103.70098599999997</c:v>
                </c:pt>
                <c:pt idx="16" formatCode="0.0">
                  <c:v>103.78508400000001</c:v>
                </c:pt>
                <c:pt idx="17" formatCode="0.0">
                  <c:v>104.54825599999999</c:v>
                </c:pt>
                <c:pt idx="18" formatCode="0.0">
                  <c:v>104.40264599999999</c:v>
                </c:pt>
                <c:pt idx="19" formatCode="0.0">
                  <c:v>105.36057199999998</c:v>
                </c:pt>
                <c:pt idx="20" formatCode="0.0">
                  <c:v>104.81240799999998</c:v>
                </c:pt>
                <c:pt idx="21" formatCode="0.0">
                  <c:v>104.49181000000004</c:v>
                </c:pt>
                <c:pt idx="22" formatCode="0.0">
                  <c:v>104.92507599999998</c:v>
                </c:pt>
                <c:pt idx="23" formatCode="0.0">
                  <c:v>104.40885400000002</c:v>
                </c:pt>
                <c:pt idx="24" formatCode="0.0">
                  <c:v>102.62185199999998</c:v>
                </c:pt>
              </c:numCache>
            </c:numRef>
          </c:val>
        </c:ser>
        <c:ser>
          <c:idx val="1"/>
          <c:order val="1"/>
          <c:tx>
            <c:strRef>
              <c:f>'Indice global et IHPFE'!$A$3</c:f>
              <c:strCache>
                <c:ptCount val="1"/>
                <c:pt idx="0">
                  <c:v>Indice hors énergie, hors produits frais</c:v>
                </c:pt>
              </c:strCache>
            </c:strRef>
          </c:tx>
          <c:spPr>
            <a:ln>
              <a:headEnd type="oval"/>
            </a:ln>
          </c:spPr>
          <c:marker>
            <c:symbol val="none"/>
          </c:marker>
          <c:cat>
            <c:numRef>
              <c:f>'Indice global et IHPFE'!$B$1:$Z$1</c:f>
              <c:numCache>
                <c:formatCode>mmm\-yy</c:formatCode>
                <c:ptCount val="25"/>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numCache>
            </c:numRef>
          </c:cat>
          <c:val>
            <c:numRef>
              <c:f>'Indice global et IHPFE'!$B$3:$Z$3</c:f>
              <c:numCache>
                <c:formatCode>0</c:formatCode>
                <c:ptCount val="25"/>
                <c:pt idx="0">
                  <c:v>101.54856619208844</c:v>
                </c:pt>
                <c:pt idx="1">
                  <c:v>101.6257614886124</c:v>
                </c:pt>
                <c:pt idx="2">
                  <c:v>100.98409846660293</c:v>
                </c:pt>
                <c:pt idx="3">
                  <c:v>102.23215694694792</c:v>
                </c:pt>
                <c:pt idx="4">
                  <c:v>101.88334732294963</c:v>
                </c:pt>
                <c:pt idx="5">
                  <c:v>101.29173680872965</c:v>
                </c:pt>
                <c:pt idx="6">
                  <c:v>99.080495771138374</c:v>
                </c:pt>
                <c:pt idx="7">
                  <c:v>100.72</c:v>
                </c:pt>
                <c:pt idx="8">
                  <c:v>98.953448448556699</c:v>
                </c:pt>
                <c:pt idx="9">
                  <c:v>102.7</c:v>
                </c:pt>
                <c:pt idx="10">
                  <c:v>102.48</c:v>
                </c:pt>
                <c:pt idx="11">
                  <c:v>102.44000000000004</c:v>
                </c:pt>
                <c:pt idx="12">
                  <c:v>102.51</c:v>
                </c:pt>
                <c:pt idx="13">
                  <c:v>104.23</c:v>
                </c:pt>
                <c:pt idx="14">
                  <c:v>104.74000000000002</c:v>
                </c:pt>
                <c:pt idx="15">
                  <c:v>103.97</c:v>
                </c:pt>
                <c:pt idx="16" formatCode="0.0">
                  <c:v>104.09</c:v>
                </c:pt>
                <c:pt idx="17" formatCode="0.0">
                  <c:v>104.21000000000002</c:v>
                </c:pt>
                <c:pt idx="18" formatCode="General">
                  <c:v>104.32</c:v>
                </c:pt>
                <c:pt idx="19" formatCode="General">
                  <c:v>105.56</c:v>
                </c:pt>
                <c:pt idx="20" formatCode="0.0">
                  <c:v>105.97</c:v>
                </c:pt>
                <c:pt idx="21" formatCode="0.0">
                  <c:v>106.19</c:v>
                </c:pt>
                <c:pt idx="22" formatCode="General">
                  <c:v>106.11999999999999</c:v>
                </c:pt>
                <c:pt idx="23" formatCode="0.0">
                  <c:v>106.26</c:v>
                </c:pt>
                <c:pt idx="24" formatCode="0.0">
                  <c:v>105.33</c:v>
                </c:pt>
              </c:numCache>
            </c:numRef>
          </c:val>
        </c:ser>
        <c:marker val="1"/>
        <c:axId val="118077312"/>
        <c:axId val="118095872"/>
      </c:lineChart>
      <c:dateAx>
        <c:axId val="118077312"/>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18095872"/>
        <c:crosses val="autoZero"/>
        <c:auto val="1"/>
        <c:lblOffset val="100"/>
        <c:baseTimeUnit val="months"/>
        <c:majorUnit val="1"/>
        <c:majorTimeUnit val="months"/>
        <c:minorUnit val="1"/>
        <c:minorTimeUnit val="months"/>
      </c:dateAx>
      <c:valAx>
        <c:axId val="118095872"/>
        <c:scaling>
          <c:orientation val="minMax"/>
          <c:min val="98"/>
        </c:scaling>
        <c:axPos val="l"/>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18077312"/>
        <c:crosses val="autoZero"/>
        <c:crossBetween val="between"/>
      </c:valAx>
    </c:plotArea>
    <c:legend>
      <c:legendPos val="r"/>
      <c:layout>
        <c:manualLayout>
          <c:xMode val="edge"/>
          <c:yMode val="edge"/>
          <c:x val="9.7916596529946887E-2"/>
          <c:y val="0.89583627627941875"/>
          <c:w val="0.79791796809246718"/>
          <c:h val="7.6389288548233611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0909090909091064E-2"/>
          <c:y val="4.1666807952229774E-2"/>
          <c:w val="0.77118264563554961"/>
          <c:h val="0.52812834134300801"/>
        </c:manualLayout>
      </c:layout>
      <c:lineChart>
        <c:grouping val="standard"/>
        <c:ser>
          <c:idx val="0"/>
          <c:order val="0"/>
          <c:tx>
            <c:strRef>
              <c:f>'Indice global et produits alime'!$A$2</c:f>
              <c:strCache>
                <c:ptCount val="1"/>
                <c:pt idx="0">
                  <c:v>indice global</c:v>
                </c:pt>
              </c:strCache>
            </c:strRef>
          </c:tx>
          <c:marker>
            <c:symbol val="none"/>
          </c:marker>
          <c:cat>
            <c:numRef>
              <c:f>'Indice global et produits alime'!$B$1:$Z$1</c:f>
              <c:numCache>
                <c:formatCode>mmm\-yy</c:formatCode>
                <c:ptCount val="25"/>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numCache>
            </c:numRef>
          </c:cat>
          <c:val>
            <c:numRef>
              <c:f>'Indice global et produits alime'!$B$2:$Z$2</c:f>
              <c:numCache>
                <c:formatCode>0</c:formatCode>
                <c:ptCount val="25"/>
                <c:pt idx="0">
                  <c:v>101.18007524999996</c:v>
                </c:pt>
                <c:pt idx="1">
                  <c:v>102.26635999999999</c:v>
                </c:pt>
                <c:pt idx="2">
                  <c:v>100.73168600000002</c:v>
                </c:pt>
                <c:pt idx="3">
                  <c:v>101.58196600000002</c:v>
                </c:pt>
                <c:pt idx="4">
                  <c:v>100.59786500000003</c:v>
                </c:pt>
                <c:pt idx="5">
                  <c:v>102.25299000000001</c:v>
                </c:pt>
                <c:pt idx="6">
                  <c:v>100.54781300000008</c:v>
                </c:pt>
                <c:pt idx="7">
                  <c:v>101.265495</c:v>
                </c:pt>
                <c:pt idx="8">
                  <c:v>100.13558900000001</c:v>
                </c:pt>
                <c:pt idx="9">
                  <c:v>99.654729999999986</c:v>
                </c:pt>
                <c:pt idx="10">
                  <c:v>100.45093699999998</c:v>
                </c:pt>
                <c:pt idx="11">
                  <c:v>102.25340300000002</c:v>
                </c:pt>
                <c:pt idx="12">
                  <c:v>101.45709400000003</c:v>
                </c:pt>
                <c:pt idx="13">
                  <c:v>103.13486300000002</c:v>
                </c:pt>
                <c:pt idx="14">
                  <c:v>104.17036799999995</c:v>
                </c:pt>
                <c:pt idx="15">
                  <c:v>103.70098599999997</c:v>
                </c:pt>
                <c:pt idx="16" formatCode="0.00">
                  <c:v>103.78508400000001</c:v>
                </c:pt>
                <c:pt idx="17" formatCode="0.0">
                  <c:v>104.54825599999999</c:v>
                </c:pt>
                <c:pt idx="18" formatCode="0.0">
                  <c:v>104.40264599999999</c:v>
                </c:pt>
                <c:pt idx="19" formatCode="0.0">
                  <c:v>105.36057199999998</c:v>
                </c:pt>
                <c:pt idx="20" formatCode="0.0">
                  <c:v>104.81240799999998</c:v>
                </c:pt>
                <c:pt idx="21" formatCode="0.0">
                  <c:v>104.49181000000004</c:v>
                </c:pt>
                <c:pt idx="22" formatCode="0.0">
                  <c:v>104.92507599999998</c:v>
                </c:pt>
                <c:pt idx="23" formatCode="0.0">
                  <c:v>104.40885400000002</c:v>
                </c:pt>
                <c:pt idx="24" formatCode="0.0">
                  <c:v>102.62185199999998</c:v>
                </c:pt>
              </c:numCache>
            </c:numRef>
          </c:val>
        </c:ser>
        <c:ser>
          <c:idx val="1"/>
          <c:order val="1"/>
          <c:tx>
            <c:strRef>
              <c:f>'Indice global et produits alime'!$A$3</c:f>
              <c:strCache>
                <c:ptCount val="1"/>
                <c:pt idx="0">
                  <c:v>Indice produits alimentaires et boissons non alcoolisées</c:v>
                </c:pt>
              </c:strCache>
            </c:strRef>
          </c:tx>
          <c:spPr>
            <a:ln>
              <a:headEnd type="diamond"/>
            </a:ln>
          </c:spPr>
          <c:marker>
            <c:symbol val="none"/>
          </c:marker>
          <c:cat>
            <c:numRef>
              <c:f>'Indice global et produits alime'!$B$1:$Z$1</c:f>
              <c:numCache>
                <c:formatCode>mmm\-yy</c:formatCode>
                <c:ptCount val="25"/>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numCache>
            </c:numRef>
          </c:cat>
          <c:val>
            <c:numRef>
              <c:f>'Indice global et produits alime'!$B$3:$Z$3</c:f>
              <c:numCache>
                <c:formatCode>0</c:formatCode>
                <c:ptCount val="25"/>
                <c:pt idx="0">
                  <c:v>101.97890000000001</c:v>
                </c:pt>
                <c:pt idx="1">
                  <c:v>104.26</c:v>
                </c:pt>
                <c:pt idx="2">
                  <c:v>99.98</c:v>
                </c:pt>
                <c:pt idx="3">
                  <c:v>103.84</c:v>
                </c:pt>
                <c:pt idx="4">
                  <c:v>99.940000000000026</c:v>
                </c:pt>
                <c:pt idx="5">
                  <c:v>106.46000000000002</c:v>
                </c:pt>
                <c:pt idx="6">
                  <c:v>101.42</c:v>
                </c:pt>
                <c:pt idx="7">
                  <c:v>103.49000000000002</c:v>
                </c:pt>
                <c:pt idx="8">
                  <c:v>97.669999999999987</c:v>
                </c:pt>
                <c:pt idx="9">
                  <c:v>93.47</c:v>
                </c:pt>
                <c:pt idx="10">
                  <c:v>96.77</c:v>
                </c:pt>
                <c:pt idx="11">
                  <c:v>99.5</c:v>
                </c:pt>
                <c:pt idx="12">
                  <c:v>97</c:v>
                </c:pt>
                <c:pt idx="13">
                  <c:v>101.52</c:v>
                </c:pt>
                <c:pt idx="14">
                  <c:v>103.57</c:v>
                </c:pt>
                <c:pt idx="15">
                  <c:v>102.41000000000004</c:v>
                </c:pt>
                <c:pt idx="16" formatCode="0.00">
                  <c:v>103.04</c:v>
                </c:pt>
                <c:pt idx="17" formatCode="0.0">
                  <c:v>105.36999999999999</c:v>
                </c:pt>
                <c:pt idx="18" formatCode="General">
                  <c:v>105.24000000000002</c:v>
                </c:pt>
                <c:pt idx="19" formatCode="General">
                  <c:v>105.61999999999999</c:v>
                </c:pt>
                <c:pt idx="20" formatCode="0.0">
                  <c:v>103.94000000000004</c:v>
                </c:pt>
                <c:pt idx="21" formatCode="0.0">
                  <c:v>102.34</c:v>
                </c:pt>
                <c:pt idx="22" formatCode="0.0">
                  <c:v>104.07</c:v>
                </c:pt>
                <c:pt idx="23" formatCode="0.0">
                  <c:v>102.85</c:v>
                </c:pt>
                <c:pt idx="24" formatCode="0.0">
                  <c:v>101.19</c:v>
                </c:pt>
              </c:numCache>
            </c:numRef>
          </c:val>
        </c:ser>
        <c:marker val="1"/>
        <c:axId val="176749568"/>
        <c:axId val="177053696"/>
      </c:lineChart>
      <c:dateAx>
        <c:axId val="176749568"/>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77053696"/>
        <c:crossesAt val="90"/>
        <c:auto val="1"/>
        <c:lblOffset val="100"/>
        <c:majorUnit val="1"/>
        <c:majorTimeUnit val="months"/>
      </c:dateAx>
      <c:valAx>
        <c:axId val="177053696"/>
        <c:scaling>
          <c:orientation val="minMax"/>
          <c:min val="90"/>
        </c:scaling>
        <c:axPos val="l"/>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76749568"/>
        <c:crosses val="autoZero"/>
        <c:crossBetween val="between"/>
      </c:valAx>
    </c:plotArea>
    <c:legend>
      <c:legendPos val="r"/>
      <c:layout>
        <c:manualLayout>
          <c:xMode val="edge"/>
          <c:yMode val="edge"/>
          <c:x val="6.3392923102125937E-2"/>
          <c:y val="0.8741397829765567"/>
          <c:w val="0.9175669459228023"/>
          <c:h val="7.6389253426655146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9583333333333348E-2"/>
          <c:y val="4.1666666666666664E-2"/>
          <c:w val="0.79007863407360301"/>
          <c:h val="0.6180555555555568"/>
        </c:manualLayout>
      </c:layout>
      <c:lineChart>
        <c:grouping val="standard"/>
        <c:ser>
          <c:idx val="0"/>
          <c:order val="0"/>
          <c:tx>
            <c:strRef>
              <c:f>'Indice logement et transport'!$A$2</c:f>
              <c:strCache>
                <c:ptCount val="1"/>
                <c:pt idx="0">
                  <c:v>Indice logement,eau, gaz, électricité et autres combustibles</c:v>
                </c:pt>
              </c:strCache>
            </c:strRef>
          </c:tx>
          <c:marker>
            <c:symbol val="none"/>
          </c:marker>
          <c:cat>
            <c:numRef>
              <c:f>'Indice logement et transport'!$B$1:$Z$1</c:f>
              <c:numCache>
                <c:formatCode>mmm\-yy</c:formatCode>
                <c:ptCount val="25"/>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numCache>
            </c:numRef>
          </c:cat>
          <c:val>
            <c:numRef>
              <c:f>'Indice logement et transport'!$B$2:$Z$2</c:f>
              <c:numCache>
                <c:formatCode>General</c:formatCode>
                <c:ptCount val="25"/>
                <c:pt idx="0" formatCode="0.0">
                  <c:v>102.12839999999996</c:v>
                </c:pt>
                <c:pt idx="1">
                  <c:v>101.6</c:v>
                </c:pt>
                <c:pt idx="2">
                  <c:v>101.66999999999999</c:v>
                </c:pt>
                <c:pt idx="3">
                  <c:v>98.2</c:v>
                </c:pt>
                <c:pt idx="4" formatCode="0.0">
                  <c:v>98.27</c:v>
                </c:pt>
                <c:pt idx="5" formatCode="0.0">
                  <c:v>96.63</c:v>
                </c:pt>
                <c:pt idx="6">
                  <c:v>97.01</c:v>
                </c:pt>
                <c:pt idx="7">
                  <c:v>97.4</c:v>
                </c:pt>
                <c:pt idx="8" formatCode="0.0">
                  <c:v>100.71000000000002</c:v>
                </c:pt>
                <c:pt idx="9">
                  <c:v>99.32</c:v>
                </c:pt>
                <c:pt idx="10" formatCode="0.0">
                  <c:v>99.7</c:v>
                </c:pt>
                <c:pt idx="11" formatCode="0.0">
                  <c:v>104.4</c:v>
                </c:pt>
                <c:pt idx="12">
                  <c:v>103.36</c:v>
                </c:pt>
                <c:pt idx="13" formatCode="0.0">
                  <c:v>103.83</c:v>
                </c:pt>
                <c:pt idx="14">
                  <c:v>103.3</c:v>
                </c:pt>
                <c:pt idx="15" formatCode="0.0">
                  <c:v>104.17999999999998</c:v>
                </c:pt>
                <c:pt idx="16">
                  <c:v>103.61999999999999</c:v>
                </c:pt>
                <c:pt idx="17">
                  <c:v>103.25</c:v>
                </c:pt>
                <c:pt idx="18">
                  <c:v>103.17999999999998</c:v>
                </c:pt>
                <c:pt idx="19" formatCode="0.0">
                  <c:v>103.29</c:v>
                </c:pt>
                <c:pt idx="20" formatCode="0.0">
                  <c:v>103.11</c:v>
                </c:pt>
                <c:pt idx="21" formatCode="0.0">
                  <c:v>105.38</c:v>
                </c:pt>
                <c:pt idx="22">
                  <c:v>101.92</c:v>
                </c:pt>
                <c:pt idx="23" formatCode="0.0">
                  <c:v>100.66</c:v>
                </c:pt>
                <c:pt idx="24" formatCode="0.0">
                  <c:v>97.55</c:v>
                </c:pt>
              </c:numCache>
            </c:numRef>
          </c:val>
        </c:ser>
        <c:ser>
          <c:idx val="1"/>
          <c:order val="1"/>
          <c:tx>
            <c:strRef>
              <c:f>'Indice logement et transport'!$A$3</c:f>
              <c:strCache>
                <c:ptCount val="1"/>
                <c:pt idx="0">
                  <c:v>Indice transport</c:v>
                </c:pt>
              </c:strCache>
            </c:strRef>
          </c:tx>
          <c:spPr>
            <a:ln>
              <a:headEnd type="oval"/>
            </a:ln>
          </c:spPr>
          <c:marker>
            <c:symbol val="none"/>
          </c:marker>
          <c:cat>
            <c:numRef>
              <c:f>'Indice logement et transport'!$B$1:$Z$1</c:f>
              <c:numCache>
                <c:formatCode>mmm\-yy</c:formatCode>
                <c:ptCount val="25"/>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numCache>
            </c:numRef>
          </c:cat>
          <c:val>
            <c:numRef>
              <c:f>'Indice logement et transport'!$B$3:$Z$3</c:f>
              <c:numCache>
                <c:formatCode>0.0</c:formatCode>
                <c:ptCount val="25"/>
                <c:pt idx="0">
                  <c:v>99.402199999999993</c:v>
                </c:pt>
                <c:pt idx="1">
                  <c:v>98.07</c:v>
                </c:pt>
                <c:pt idx="2" formatCode="General">
                  <c:v>97.84</c:v>
                </c:pt>
                <c:pt idx="3" formatCode="General">
                  <c:v>96.4</c:v>
                </c:pt>
                <c:pt idx="4">
                  <c:v>97.61</c:v>
                </c:pt>
                <c:pt idx="5">
                  <c:v>96.77</c:v>
                </c:pt>
                <c:pt idx="6" formatCode="General">
                  <c:v>96.36</c:v>
                </c:pt>
                <c:pt idx="7" formatCode="General">
                  <c:v>97.6</c:v>
                </c:pt>
                <c:pt idx="8">
                  <c:v>100.11</c:v>
                </c:pt>
                <c:pt idx="9" formatCode="General">
                  <c:v>110.34</c:v>
                </c:pt>
                <c:pt idx="10">
                  <c:v>106.16999999999999</c:v>
                </c:pt>
                <c:pt idx="11">
                  <c:v>108.14999999999999</c:v>
                </c:pt>
                <c:pt idx="12" formatCode="General">
                  <c:v>110.47</c:v>
                </c:pt>
                <c:pt idx="13">
                  <c:v>108.89</c:v>
                </c:pt>
                <c:pt idx="14" formatCode="General">
                  <c:v>110.34</c:v>
                </c:pt>
                <c:pt idx="15">
                  <c:v>108.28</c:v>
                </c:pt>
                <c:pt idx="16" formatCode="General">
                  <c:v>107.29</c:v>
                </c:pt>
                <c:pt idx="17" formatCode="General">
                  <c:v>106.66999999999999</c:v>
                </c:pt>
                <c:pt idx="18" formatCode="General">
                  <c:v>105.72</c:v>
                </c:pt>
                <c:pt idx="19">
                  <c:v>112.01</c:v>
                </c:pt>
                <c:pt idx="20">
                  <c:v>111.69</c:v>
                </c:pt>
                <c:pt idx="21">
                  <c:v>111.88</c:v>
                </c:pt>
                <c:pt idx="22" formatCode="General">
                  <c:v>111.94000000000004</c:v>
                </c:pt>
                <c:pt idx="23">
                  <c:v>111.47</c:v>
                </c:pt>
                <c:pt idx="24">
                  <c:v>107.55</c:v>
                </c:pt>
              </c:numCache>
            </c:numRef>
          </c:val>
        </c:ser>
        <c:marker val="1"/>
        <c:axId val="177458560"/>
        <c:axId val="177580672"/>
      </c:lineChart>
      <c:dateAx>
        <c:axId val="177458560"/>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77580672"/>
        <c:crosses val="autoZero"/>
        <c:auto val="1"/>
        <c:lblOffset val="100"/>
        <c:baseTimeUnit val="months"/>
        <c:majorUnit val="1"/>
        <c:majorTimeUnit val="months"/>
        <c:minorUnit val="1"/>
        <c:minorTimeUnit val="months"/>
      </c:dateAx>
      <c:valAx>
        <c:axId val="177580672"/>
        <c:scaling>
          <c:orientation val="minMax"/>
          <c:min val="95"/>
        </c:scaling>
        <c:axPos val="l"/>
        <c:numFmt formatCode="0.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77458560"/>
        <c:crosses val="autoZero"/>
        <c:crossBetween val="between"/>
      </c:valAx>
    </c:plotArea>
    <c:legend>
      <c:legendPos val="r"/>
      <c:layout>
        <c:manualLayout>
          <c:xMode val="edge"/>
          <c:yMode val="edge"/>
          <c:x val="9.7720181865454218E-3"/>
          <c:y val="0.87863447734468203"/>
          <c:w val="0.95795861360924295"/>
          <c:h val="9.3590995661670492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000020345093494"/>
          <c:y val="4.1666807952229754E-2"/>
          <c:w val="0.82546374970446623"/>
          <c:h val="0.58519993980416052"/>
        </c:manualLayout>
      </c:layout>
      <c:lineChart>
        <c:grouping val="standard"/>
        <c:ser>
          <c:idx val="0"/>
          <c:order val="0"/>
          <c:tx>
            <c:strRef>
              <c:f>'Indice origine'!$A$2</c:f>
              <c:strCache>
                <c:ptCount val="1"/>
                <c:pt idx="0">
                  <c:v>Importés</c:v>
                </c:pt>
              </c:strCache>
            </c:strRef>
          </c:tx>
          <c:marker>
            <c:symbol val="none"/>
          </c:marker>
          <c:cat>
            <c:numRef>
              <c:f>'Indice origine'!$B$1:$Z$1</c:f>
              <c:numCache>
                <c:formatCode>mmm\-yy</c:formatCode>
                <c:ptCount val="25"/>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numCache>
            </c:numRef>
          </c:cat>
          <c:val>
            <c:numRef>
              <c:f>'Indice origine'!$B$2:$Z$2</c:f>
              <c:numCache>
                <c:formatCode>0</c:formatCode>
                <c:ptCount val="25"/>
                <c:pt idx="0">
                  <c:v>97.130686034081748</c:v>
                </c:pt>
                <c:pt idx="1">
                  <c:v>99.543769730829652</c:v>
                </c:pt>
                <c:pt idx="2">
                  <c:v>100.69557472377096</c:v>
                </c:pt>
                <c:pt idx="3">
                  <c:v>98.227359035110126</c:v>
                </c:pt>
                <c:pt idx="4">
                  <c:v>98.979339232793635</c:v>
                </c:pt>
                <c:pt idx="5">
                  <c:v>98.24856609820786</c:v>
                </c:pt>
                <c:pt idx="6">
                  <c:v>98.897146553273799</c:v>
                </c:pt>
                <c:pt idx="7">
                  <c:v>99.321204943557007</c:v>
                </c:pt>
                <c:pt idx="8">
                  <c:v>98.569924508133496</c:v>
                </c:pt>
                <c:pt idx="9">
                  <c:v>101.46000000000002</c:v>
                </c:pt>
                <c:pt idx="10">
                  <c:v>101.33</c:v>
                </c:pt>
                <c:pt idx="11">
                  <c:v>101.81</c:v>
                </c:pt>
                <c:pt idx="12">
                  <c:v>101.93</c:v>
                </c:pt>
                <c:pt idx="13">
                  <c:v>101.54</c:v>
                </c:pt>
                <c:pt idx="14">
                  <c:v>102.85</c:v>
                </c:pt>
                <c:pt idx="15">
                  <c:v>102.08</c:v>
                </c:pt>
                <c:pt idx="16" formatCode="General">
                  <c:v>101.61999999999999</c:v>
                </c:pt>
                <c:pt idx="17" formatCode="General">
                  <c:v>101.66999999999999</c:v>
                </c:pt>
                <c:pt idx="18" formatCode="General">
                  <c:v>101.47</c:v>
                </c:pt>
                <c:pt idx="19" formatCode="General">
                  <c:v>102.11</c:v>
                </c:pt>
                <c:pt idx="20" formatCode="0.0">
                  <c:v>102.53</c:v>
                </c:pt>
                <c:pt idx="21" formatCode="0.0">
                  <c:v>102.28</c:v>
                </c:pt>
                <c:pt idx="22" formatCode="0.0">
                  <c:v>102.36999999999999</c:v>
                </c:pt>
                <c:pt idx="23" formatCode="0.0">
                  <c:v>102.22</c:v>
                </c:pt>
                <c:pt idx="24" formatCode="0.0">
                  <c:v>101.4</c:v>
                </c:pt>
              </c:numCache>
            </c:numRef>
          </c:val>
        </c:ser>
        <c:ser>
          <c:idx val="1"/>
          <c:order val="1"/>
          <c:tx>
            <c:strRef>
              <c:f>'Indice origine'!$A$3</c:f>
              <c:strCache>
                <c:ptCount val="1"/>
                <c:pt idx="0">
                  <c:v>Locaux</c:v>
                </c:pt>
              </c:strCache>
            </c:strRef>
          </c:tx>
          <c:spPr>
            <a:ln>
              <a:headEnd type="diamond"/>
            </a:ln>
          </c:spPr>
          <c:marker>
            <c:symbol val="none"/>
          </c:marker>
          <c:cat>
            <c:numRef>
              <c:f>'Indice origine'!$B$1:$Z$1</c:f>
              <c:numCache>
                <c:formatCode>mmm\-yy</c:formatCode>
                <c:ptCount val="25"/>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pt idx="13">
                  <c:v>43831</c:v>
                </c:pt>
                <c:pt idx="14">
                  <c:v>43862</c:v>
                </c:pt>
                <c:pt idx="15">
                  <c:v>43891</c:v>
                </c:pt>
                <c:pt idx="16">
                  <c:v>43922</c:v>
                </c:pt>
                <c:pt idx="17">
                  <c:v>43952</c:v>
                </c:pt>
                <c:pt idx="18">
                  <c:v>43983</c:v>
                </c:pt>
                <c:pt idx="19">
                  <c:v>44013</c:v>
                </c:pt>
                <c:pt idx="20">
                  <c:v>44044</c:v>
                </c:pt>
                <c:pt idx="21">
                  <c:v>44075</c:v>
                </c:pt>
                <c:pt idx="22">
                  <c:v>44105</c:v>
                </c:pt>
                <c:pt idx="23">
                  <c:v>44136</c:v>
                </c:pt>
                <c:pt idx="24">
                  <c:v>44166</c:v>
                </c:pt>
              </c:numCache>
            </c:numRef>
          </c:cat>
          <c:val>
            <c:numRef>
              <c:f>'Indice origine'!$B$3:$Z$3</c:f>
              <c:numCache>
                <c:formatCode>0</c:formatCode>
                <c:ptCount val="25"/>
                <c:pt idx="0">
                  <c:v>102.71066290595473</c:v>
                </c:pt>
                <c:pt idx="1">
                  <c:v>103.29544434729698</c:v>
                </c:pt>
                <c:pt idx="2">
                  <c:v>100.74533533590962</c:v>
                </c:pt>
                <c:pt idx="3">
                  <c:v>102.84993994304722</c:v>
                </c:pt>
                <c:pt idx="4">
                  <c:v>101.2096351776831</c:v>
                </c:pt>
                <c:pt idx="5">
                  <c:v>103.76658167185009</c:v>
                </c:pt>
                <c:pt idx="6">
                  <c:v>100.80474672789988</c:v>
                </c:pt>
                <c:pt idx="7">
                  <c:v>102.18585845939407</c:v>
                </c:pt>
                <c:pt idx="8">
                  <c:v>100.72737867909463</c:v>
                </c:pt>
                <c:pt idx="9">
                  <c:v>99.75</c:v>
                </c:pt>
                <c:pt idx="10">
                  <c:v>100.81</c:v>
                </c:pt>
                <c:pt idx="11">
                  <c:v>105.14</c:v>
                </c:pt>
                <c:pt idx="12">
                  <c:v>101.81</c:v>
                </c:pt>
                <c:pt idx="13">
                  <c:v>104.42</c:v>
                </c:pt>
                <c:pt idx="14">
                  <c:v>105.01</c:v>
                </c:pt>
                <c:pt idx="15">
                  <c:v>104.9</c:v>
                </c:pt>
                <c:pt idx="16" formatCode="General">
                  <c:v>105.35</c:v>
                </c:pt>
                <c:pt idx="17" formatCode="General">
                  <c:v>106.59</c:v>
                </c:pt>
                <c:pt idx="18" formatCode="General">
                  <c:v>106.36</c:v>
                </c:pt>
                <c:pt idx="19" formatCode="General">
                  <c:v>107.29</c:v>
                </c:pt>
                <c:pt idx="20" formatCode="0.0">
                  <c:v>106.72</c:v>
                </c:pt>
                <c:pt idx="21" formatCode="0.0">
                  <c:v>106.29</c:v>
                </c:pt>
                <c:pt idx="22" formatCode="0.0">
                  <c:v>106.89</c:v>
                </c:pt>
                <c:pt idx="23" formatCode="0.0">
                  <c:v>107.27</c:v>
                </c:pt>
                <c:pt idx="24" formatCode="0.0">
                  <c:v>103.85</c:v>
                </c:pt>
              </c:numCache>
            </c:numRef>
          </c:val>
        </c:ser>
        <c:marker val="1"/>
        <c:axId val="177668096"/>
        <c:axId val="177669632"/>
      </c:lineChart>
      <c:dateAx>
        <c:axId val="177668096"/>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77669632"/>
        <c:crosses val="autoZero"/>
        <c:auto val="1"/>
        <c:lblOffset val="100"/>
        <c:baseTimeUnit val="months"/>
        <c:majorUnit val="1"/>
        <c:majorTimeUnit val="months"/>
        <c:minorUnit val="1"/>
        <c:minorTimeUnit val="months"/>
      </c:dateAx>
      <c:valAx>
        <c:axId val="177669632"/>
        <c:scaling>
          <c:orientation val="minMax"/>
          <c:min val="95"/>
        </c:scaling>
        <c:axPos val="l"/>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77668096"/>
        <c:crosses val="autoZero"/>
        <c:crossBetween val="between"/>
      </c:valAx>
    </c:plotArea>
    <c:legend>
      <c:legendPos val="r"/>
      <c:layout>
        <c:manualLayout>
          <c:xMode val="edge"/>
          <c:yMode val="edge"/>
          <c:x val="0.2759656814247915"/>
          <c:y val="0.88484981289202902"/>
          <c:w val="0.34791732283464638"/>
          <c:h val="7.6389253426655146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2428</Words>
  <Characters>13356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Souliath CHITOU</dc:creator>
  <cp:lastModifiedBy>Service Prix</cp:lastModifiedBy>
  <cp:revision>11</cp:revision>
  <cp:lastPrinted>2021-01-11T15:16:00Z</cp:lastPrinted>
  <dcterms:created xsi:type="dcterms:W3CDTF">2021-01-28T07:37:00Z</dcterms:created>
  <dcterms:modified xsi:type="dcterms:W3CDTF">2021-01-29T08:41:00Z</dcterms:modified>
</cp:coreProperties>
</file>